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10DA4" w14:textId="77777777" w:rsidR="007E4532" w:rsidRPr="00EE0AEA" w:rsidRDefault="007E4532" w:rsidP="009E4264">
      <w:pPr>
        <w:spacing w:after="0"/>
        <w:jc w:val="right"/>
        <w:rPr>
          <w:lang w:val="fr-CA"/>
        </w:rPr>
      </w:pPr>
    </w:p>
    <w:p w14:paraId="13F50321" w14:textId="77777777" w:rsidR="00CB1D71" w:rsidRPr="00EE0AEA" w:rsidRDefault="00B80837" w:rsidP="009E4264">
      <w:pPr>
        <w:spacing w:after="0"/>
        <w:jc w:val="right"/>
        <w:rPr>
          <w:lang w:val="fr-CA"/>
        </w:rPr>
      </w:pPr>
      <w:r w:rsidRPr="00EE0AEA">
        <w:rPr>
          <w:lang w:val="fr-CA"/>
        </w:rPr>
        <w:t>L’honorable</w:t>
      </w:r>
      <w:r w:rsidR="00CB1D71" w:rsidRPr="00EE0AEA">
        <w:rPr>
          <w:lang w:val="fr-CA"/>
        </w:rPr>
        <w:t xml:space="preserve"> Jane Philpott, P.C., </w:t>
      </w:r>
      <w:r w:rsidRPr="00EE0AEA">
        <w:rPr>
          <w:lang w:val="fr-CA"/>
        </w:rPr>
        <w:t>députée</w:t>
      </w:r>
    </w:p>
    <w:p w14:paraId="3985C575" w14:textId="77777777" w:rsidR="00CB1D71" w:rsidRPr="00EE0AEA" w:rsidRDefault="00B80837" w:rsidP="009E4264">
      <w:pPr>
        <w:spacing w:after="0"/>
        <w:jc w:val="right"/>
        <w:rPr>
          <w:lang w:val="fr-CA"/>
        </w:rPr>
      </w:pPr>
      <w:r w:rsidRPr="00EE0AEA">
        <w:rPr>
          <w:lang w:val="fr-CA"/>
        </w:rPr>
        <w:t>Ministre de la Santé</w:t>
      </w:r>
    </w:p>
    <w:p w14:paraId="5BF4E362" w14:textId="77777777" w:rsidR="00CB1D71" w:rsidRPr="00EE0AEA" w:rsidRDefault="00B80837" w:rsidP="009E4264">
      <w:pPr>
        <w:spacing w:after="0"/>
        <w:jc w:val="right"/>
        <w:rPr>
          <w:lang w:val="fr-CA"/>
        </w:rPr>
      </w:pPr>
      <w:r w:rsidRPr="00EE0AEA">
        <w:rPr>
          <w:lang w:val="fr-CA"/>
        </w:rPr>
        <w:t>Édifice de la Confédération</w:t>
      </w:r>
      <w:r w:rsidR="00CB1D71" w:rsidRPr="00EE0AEA">
        <w:rPr>
          <w:lang w:val="fr-CA"/>
        </w:rPr>
        <w:t xml:space="preserve">, </w:t>
      </w:r>
      <w:r w:rsidRPr="00EE0AEA">
        <w:rPr>
          <w:lang w:val="fr-CA"/>
        </w:rPr>
        <w:t>Pièce</w:t>
      </w:r>
      <w:r w:rsidR="00CB1D71" w:rsidRPr="00EE0AEA">
        <w:rPr>
          <w:lang w:val="fr-CA"/>
        </w:rPr>
        <w:t xml:space="preserve"> 162 </w:t>
      </w:r>
    </w:p>
    <w:p w14:paraId="5CC40430" w14:textId="77777777" w:rsidR="00CB1D71" w:rsidRPr="00EE0AEA" w:rsidRDefault="00B80837" w:rsidP="009E4264">
      <w:pPr>
        <w:spacing w:after="0"/>
        <w:jc w:val="right"/>
        <w:rPr>
          <w:lang w:val="fr-CA"/>
        </w:rPr>
      </w:pPr>
      <w:r w:rsidRPr="00EE0AEA">
        <w:rPr>
          <w:lang w:val="fr-CA"/>
        </w:rPr>
        <w:t>Chambre des communes</w:t>
      </w:r>
      <w:r w:rsidR="00CB1D71" w:rsidRPr="00EE0AEA">
        <w:rPr>
          <w:lang w:val="fr-CA"/>
        </w:rPr>
        <w:t xml:space="preserve"> </w:t>
      </w:r>
    </w:p>
    <w:p w14:paraId="66E17A41" w14:textId="77777777" w:rsidR="00CB1D71" w:rsidRPr="00EE0AEA" w:rsidRDefault="00CB1D71" w:rsidP="009E4264">
      <w:pPr>
        <w:jc w:val="right"/>
        <w:rPr>
          <w:lang w:val="fr-CA"/>
        </w:rPr>
      </w:pPr>
      <w:r w:rsidRPr="00EE0AEA">
        <w:rPr>
          <w:lang w:val="fr-CA"/>
        </w:rPr>
        <w:t>Ottawa, ON K1A 0A6</w:t>
      </w:r>
    </w:p>
    <w:p w14:paraId="731C0120" w14:textId="77777777" w:rsidR="00CB1D71" w:rsidRPr="00EE0AEA" w:rsidRDefault="00CB1D71" w:rsidP="009E4264">
      <w:pPr>
        <w:jc w:val="right"/>
        <w:rPr>
          <w:lang w:val="fr-CA"/>
        </w:rPr>
      </w:pPr>
    </w:p>
    <w:p w14:paraId="14642FF3" w14:textId="77777777" w:rsidR="00CB1D71" w:rsidRPr="00EE0AEA" w:rsidRDefault="00CB1D71" w:rsidP="009E4264">
      <w:pPr>
        <w:jc w:val="right"/>
        <w:rPr>
          <w:lang w:val="fr-CA"/>
        </w:rPr>
      </w:pPr>
      <w:r w:rsidRPr="00EE0AEA">
        <w:rPr>
          <w:lang w:val="fr-CA"/>
        </w:rPr>
        <w:t>1</w:t>
      </w:r>
      <w:r w:rsidR="00294D44" w:rsidRPr="00EE0AEA">
        <w:rPr>
          <w:lang w:val="fr-CA"/>
        </w:rPr>
        <w:t>3</w:t>
      </w:r>
      <w:r w:rsidR="00B80837" w:rsidRPr="00EE0AEA">
        <w:rPr>
          <w:lang w:val="fr-CA"/>
        </w:rPr>
        <w:t xml:space="preserve"> octobre</w:t>
      </w:r>
      <w:r w:rsidRPr="00EE0AEA">
        <w:rPr>
          <w:lang w:val="fr-CA"/>
        </w:rPr>
        <w:t xml:space="preserve"> 2016</w:t>
      </w:r>
    </w:p>
    <w:p w14:paraId="6290328D" w14:textId="77777777" w:rsidR="00CB1D71" w:rsidRPr="00EE0AEA" w:rsidRDefault="00B80837" w:rsidP="009E4264">
      <w:pPr>
        <w:rPr>
          <w:lang w:val="fr-CA"/>
        </w:rPr>
      </w:pPr>
      <w:r w:rsidRPr="00EE0AEA">
        <w:rPr>
          <w:lang w:val="fr-CA"/>
        </w:rPr>
        <w:t>Madame la Ministre</w:t>
      </w:r>
      <w:r w:rsidR="00CB1D71" w:rsidRPr="00EE0AEA">
        <w:rPr>
          <w:lang w:val="fr-CA"/>
        </w:rPr>
        <w:t xml:space="preserve">, </w:t>
      </w:r>
    </w:p>
    <w:p w14:paraId="50F02AAE" w14:textId="77777777" w:rsidR="00CB1D71" w:rsidRPr="00EE0AEA" w:rsidRDefault="003D4B8B" w:rsidP="009E4264">
      <w:pPr>
        <w:rPr>
          <w:lang w:val="fr-CA"/>
        </w:rPr>
      </w:pPr>
      <w:r>
        <w:rPr>
          <w:lang w:val="fr-CA"/>
        </w:rPr>
        <w:t>Nous vous adressons la présente en ré</w:t>
      </w:r>
      <w:r w:rsidR="005D5B02">
        <w:rPr>
          <w:lang w:val="fr-CA"/>
        </w:rPr>
        <w:t>action</w:t>
      </w:r>
      <w:r>
        <w:rPr>
          <w:lang w:val="fr-CA"/>
        </w:rPr>
        <w:t xml:space="preserve"> aux</w:t>
      </w:r>
      <w:r w:rsidR="00CA1446" w:rsidRPr="00EE0AEA">
        <w:rPr>
          <w:lang w:val="fr-CA"/>
        </w:rPr>
        <w:t xml:space="preserve"> résultats </w:t>
      </w:r>
      <w:r w:rsidR="00B80837" w:rsidRPr="00EE0AEA">
        <w:rPr>
          <w:lang w:val="fr-CA"/>
        </w:rPr>
        <w:t xml:space="preserve">du processus de lettres d’intention </w:t>
      </w:r>
      <w:r w:rsidR="00EC03FA" w:rsidRPr="00EE0AEA">
        <w:rPr>
          <w:lang w:val="fr-CA"/>
        </w:rPr>
        <w:t>du Fonds d’initiatives communautaires (FIC) en matière de VIH/sida et d’hépatite C</w:t>
      </w:r>
      <w:r w:rsidR="00CB1D71" w:rsidRPr="00EE0AEA">
        <w:rPr>
          <w:lang w:val="fr-CA"/>
        </w:rPr>
        <w:t xml:space="preserve">. </w:t>
      </w:r>
      <w:r w:rsidR="00540ABE">
        <w:rPr>
          <w:lang w:val="fr-CA"/>
        </w:rPr>
        <w:t>L</w:t>
      </w:r>
      <w:r w:rsidR="00540ABE" w:rsidRPr="00EE0AEA">
        <w:rPr>
          <w:lang w:val="fr-CA"/>
        </w:rPr>
        <w:t xml:space="preserve">a dévastation est considérable </w:t>
      </w:r>
      <w:r w:rsidR="00540ABE">
        <w:rPr>
          <w:lang w:val="fr-CA"/>
        </w:rPr>
        <w:t>p</w:t>
      </w:r>
      <w:r w:rsidR="00CA1446" w:rsidRPr="00EE0AEA">
        <w:rPr>
          <w:lang w:val="fr-CA"/>
        </w:rPr>
        <w:t>armi les organismes communautaires que nous représentons</w:t>
      </w:r>
      <w:r w:rsidR="0043155E">
        <w:rPr>
          <w:lang w:val="fr-CA"/>
        </w:rPr>
        <w:t xml:space="preserve"> –</w:t>
      </w:r>
      <w:r w:rsidR="00540ABE">
        <w:rPr>
          <w:lang w:val="fr-CA"/>
        </w:rPr>
        <w:t xml:space="preserve"> </w:t>
      </w:r>
      <w:r w:rsidR="00EE0AEA" w:rsidRPr="00EE0AEA">
        <w:rPr>
          <w:lang w:val="fr-CA"/>
        </w:rPr>
        <w:t xml:space="preserve">membres </w:t>
      </w:r>
      <w:r w:rsidR="0043155E">
        <w:rPr>
          <w:lang w:val="fr-CA"/>
        </w:rPr>
        <w:t>et</w:t>
      </w:r>
      <w:r w:rsidR="00EE0AEA" w:rsidRPr="00EE0AEA">
        <w:rPr>
          <w:lang w:val="fr-CA"/>
        </w:rPr>
        <w:t xml:space="preserve"> non-membres</w:t>
      </w:r>
      <w:r w:rsidR="00CB1D71" w:rsidRPr="00EE0AEA">
        <w:rPr>
          <w:lang w:val="fr-CA"/>
        </w:rPr>
        <w:t xml:space="preserve">. </w:t>
      </w:r>
      <w:r w:rsidR="00EE0AEA" w:rsidRPr="00EE0AEA">
        <w:rPr>
          <w:lang w:val="fr-CA"/>
        </w:rPr>
        <w:t xml:space="preserve">Nous </w:t>
      </w:r>
      <w:r w:rsidR="00540ABE">
        <w:rPr>
          <w:lang w:val="fr-CA"/>
        </w:rPr>
        <w:t>faisons partie</w:t>
      </w:r>
      <w:r w:rsidR="00EE0AEA" w:rsidRPr="00EE0AEA">
        <w:rPr>
          <w:lang w:val="fr-CA"/>
        </w:rPr>
        <w:t xml:space="preserve"> des nombreux organismes </w:t>
      </w:r>
      <w:r w:rsidR="00540ABE">
        <w:rPr>
          <w:lang w:val="fr-CA"/>
        </w:rPr>
        <w:t>canadiens</w:t>
      </w:r>
      <w:r w:rsidR="00EE0AEA" w:rsidRPr="00EE0AEA">
        <w:rPr>
          <w:lang w:val="fr-CA"/>
        </w:rPr>
        <w:t xml:space="preserve"> </w:t>
      </w:r>
      <w:r w:rsidR="00054CF3">
        <w:rPr>
          <w:lang w:val="fr-CA"/>
        </w:rPr>
        <w:t>qui ont</w:t>
      </w:r>
      <w:r w:rsidR="00EE0AEA" w:rsidRPr="00EE0AEA">
        <w:rPr>
          <w:lang w:val="fr-CA"/>
        </w:rPr>
        <w:t xml:space="preserve"> reçu une réponse bouleversante</w:t>
      </w:r>
      <w:r w:rsidR="00CB1D71" w:rsidRPr="00EE0AEA">
        <w:rPr>
          <w:lang w:val="fr-CA"/>
        </w:rPr>
        <w:t xml:space="preserve"> </w:t>
      </w:r>
      <w:r w:rsidR="00EE0AEA" w:rsidRPr="00EE0AEA">
        <w:rPr>
          <w:lang w:val="fr-CA"/>
        </w:rPr>
        <w:t>à l’issue de la ronde de demandes de financement</w:t>
      </w:r>
      <w:r w:rsidR="00054CF3" w:rsidRPr="00054CF3">
        <w:rPr>
          <w:lang w:val="fr-CA"/>
        </w:rPr>
        <w:t xml:space="preserve"> </w:t>
      </w:r>
      <w:r w:rsidR="00054CF3" w:rsidRPr="00EE0AEA">
        <w:rPr>
          <w:lang w:val="fr-CA"/>
        </w:rPr>
        <w:t>actuelle</w:t>
      </w:r>
      <w:r w:rsidR="00A104AA">
        <w:rPr>
          <w:lang w:val="fr-CA"/>
        </w:rPr>
        <w:t>. N</w:t>
      </w:r>
      <w:r w:rsidR="00054CF3" w:rsidRPr="00EE0AEA">
        <w:rPr>
          <w:lang w:val="fr-CA"/>
        </w:rPr>
        <w:t xml:space="preserve">on seulement </w:t>
      </w:r>
      <w:r w:rsidR="00EE0AEA" w:rsidRPr="00EE0AEA">
        <w:rPr>
          <w:lang w:val="fr-CA"/>
        </w:rPr>
        <w:t xml:space="preserve">les résultats </w:t>
      </w:r>
      <w:r w:rsidR="00054CF3">
        <w:rPr>
          <w:lang w:val="fr-CA"/>
        </w:rPr>
        <w:t>du</w:t>
      </w:r>
      <w:r w:rsidR="00EE0AEA" w:rsidRPr="00EE0AEA">
        <w:rPr>
          <w:lang w:val="fr-CA"/>
        </w:rPr>
        <w:t xml:space="preserve"> processus sont inacceptables, mais ils auront des conséquences catastrophiques sur la capacité </w:t>
      </w:r>
      <w:r w:rsidR="00054CF3">
        <w:rPr>
          <w:lang w:val="fr-CA"/>
        </w:rPr>
        <w:t>de notre pays</w:t>
      </w:r>
      <w:r w:rsidR="00EE0AEA" w:rsidRPr="00EE0AEA">
        <w:rPr>
          <w:lang w:val="fr-CA"/>
        </w:rPr>
        <w:t xml:space="preserve"> de répondre aux besoins des personnes vivant avec le VIH et l’hépatite C</w:t>
      </w:r>
      <w:r w:rsidR="00CB1D71" w:rsidRPr="00EE0AEA">
        <w:rPr>
          <w:lang w:val="fr-CA"/>
        </w:rPr>
        <w:t xml:space="preserve">. </w:t>
      </w:r>
      <w:r w:rsidR="00EE0AEA">
        <w:rPr>
          <w:lang w:val="fr-CA"/>
        </w:rPr>
        <w:t>E</w:t>
      </w:r>
      <w:r w:rsidR="00EE0AEA" w:rsidRPr="00EE0AEA">
        <w:rPr>
          <w:lang w:val="fr-CA"/>
        </w:rPr>
        <w:t>n tant que voix nationale</w:t>
      </w:r>
      <w:r w:rsidR="00CB1D71" w:rsidRPr="00EE0AEA">
        <w:rPr>
          <w:lang w:val="fr-CA"/>
        </w:rPr>
        <w:t xml:space="preserve"> </w:t>
      </w:r>
      <w:r w:rsidR="00EE0AEA">
        <w:rPr>
          <w:lang w:val="fr-CA"/>
        </w:rPr>
        <w:t xml:space="preserve">des organismes communautaires de ce secteur, nous sommes </w:t>
      </w:r>
      <w:r w:rsidR="005D5B02">
        <w:rPr>
          <w:lang w:val="fr-CA"/>
        </w:rPr>
        <w:t>très</w:t>
      </w:r>
      <w:r w:rsidR="00EE0AEA">
        <w:rPr>
          <w:lang w:val="fr-CA"/>
        </w:rPr>
        <w:t xml:space="preserve"> préoccupés par les </w:t>
      </w:r>
      <w:r w:rsidR="00A104AA">
        <w:rPr>
          <w:lang w:val="fr-CA"/>
        </w:rPr>
        <w:t xml:space="preserve">potentielles </w:t>
      </w:r>
      <w:r w:rsidR="00EE0AEA">
        <w:rPr>
          <w:lang w:val="fr-CA"/>
        </w:rPr>
        <w:t xml:space="preserve">lacunes </w:t>
      </w:r>
      <w:r w:rsidR="002E43EC">
        <w:rPr>
          <w:lang w:val="fr-CA"/>
        </w:rPr>
        <w:t>qu’entraîneront</w:t>
      </w:r>
      <w:r w:rsidR="00EE0AEA">
        <w:rPr>
          <w:lang w:val="fr-CA"/>
        </w:rPr>
        <w:t xml:space="preserve"> les résultats du processus de lettres d’intention</w:t>
      </w:r>
      <w:r w:rsidR="00A104AA">
        <w:rPr>
          <w:lang w:val="fr-CA"/>
        </w:rPr>
        <w:t>,</w:t>
      </w:r>
      <w:r w:rsidR="00EE0AEA">
        <w:rPr>
          <w:lang w:val="fr-CA"/>
        </w:rPr>
        <w:t xml:space="preserve"> et par le fait que les </w:t>
      </w:r>
      <w:r w:rsidR="00A104AA">
        <w:rPr>
          <w:lang w:val="fr-CA"/>
        </w:rPr>
        <w:t>rétroactions reçues ne concord</w:t>
      </w:r>
      <w:r w:rsidR="00133F01">
        <w:rPr>
          <w:lang w:val="fr-CA"/>
        </w:rPr>
        <w:t>ent</w:t>
      </w:r>
      <w:r w:rsidR="00EE0AEA">
        <w:rPr>
          <w:lang w:val="fr-CA"/>
        </w:rPr>
        <w:t xml:space="preserve"> pas, dans certains cas, avec les demandes de financement soumises</w:t>
      </w:r>
      <w:r w:rsidR="00CB1D71" w:rsidRPr="00EE0AEA">
        <w:rPr>
          <w:lang w:val="fr-CA"/>
        </w:rPr>
        <w:t>.</w:t>
      </w:r>
    </w:p>
    <w:p w14:paraId="28A23EC9" w14:textId="77777777" w:rsidR="00CB1D71" w:rsidRPr="00EE0AEA" w:rsidRDefault="00EE0AEA" w:rsidP="009E4264">
      <w:pPr>
        <w:rPr>
          <w:rFonts w:cstheme="minorHAnsi"/>
          <w:shd w:val="clear" w:color="auto" w:fill="FFFFFF"/>
          <w:lang w:val="fr-CA"/>
        </w:rPr>
      </w:pPr>
      <w:r>
        <w:rPr>
          <w:lang w:val="fr-CA"/>
        </w:rPr>
        <w:t xml:space="preserve">Les résultats de ce processus ont anéanti plusieurs acteurs clés de la lutte contre le VIH, l’hépatite C et d’autres infections transmissibles sexuellement et par le sang (ITSS) au </w:t>
      </w:r>
      <w:r w:rsidR="00CB1D71" w:rsidRPr="00EE0AEA">
        <w:rPr>
          <w:lang w:val="fr-CA"/>
        </w:rPr>
        <w:t xml:space="preserve">Canada. </w:t>
      </w:r>
      <w:r>
        <w:rPr>
          <w:lang w:val="fr-CA"/>
        </w:rPr>
        <w:t xml:space="preserve">Fait </w:t>
      </w:r>
      <w:r w:rsidR="002E43EC">
        <w:rPr>
          <w:lang w:val="fr-CA"/>
        </w:rPr>
        <w:t>crucial</w:t>
      </w:r>
      <w:r>
        <w:rPr>
          <w:lang w:val="fr-CA"/>
        </w:rPr>
        <w:t xml:space="preserve">, ces décisions </w:t>
      </w:r>
      <w:r w:rsidR="002E43EC">
        <w:rPr>
          <w:lang w:val="fr-CA"/>
        </w:rPr>
        <w:t>mettr</w:t>
      </w:r>
      <w:r>
        <w:rPr>
          <w:lang w:val="fr-CA"/>
        </w:rPr>
        <w:t>ont encore plus en danger certaines personnes</w:t>
      </w:r>
      <w:r w:rsidR="002E43EC">
        <w:rPr>
          <w:lang w:val="fr-CA"/>
        </w:rPr>
        <w:t xml:space="preserve"> parmi</w:t>
      </w:r>
      <w:r>
        <w:rPr>
          <w:lang w:val="fr-CA"/>
        </w:rPr>
        <w:t xml:space="preserve"> les plus vulnérables au pays</w:t>
      </w:r>
      <w:r w:rsidR="00CB1D71" w:rsidRPr="00EE0AEA">
        <w:rPr>
          <w:lang w:val="fr-CA"/>
        </w:rPr>
        <w:t xml:space="preserve">, </w:t>
      </w:r>
      <w:r>
        <w:rPr>
          <w:lang w:val="fr-CA"/>
        </w:rPr>
        <w:t xml:space="preserve">en plus de </w:t>
      </w:r>
      <w:r w:rsidR="005D5B02">
        <w:rPr>
          <w:lang w:val="fr-CA"/>
        </w:rPr>
        <w:t>menacer</w:t>
      </w:r>
      <w:r>
        <w:rPr>
          <w:lang w:val="fr-CA"/>
        </w:rPr>
        <w:t xml:space="preserve"> la plupart de</w:t>
      </w:r>
      <w:r w:rsidR="00034CBF">
        <w:rPr>
          <w:lang w:val="fr-CA"/>
        </w:rPr>
        <w:t>s impacts sociaux positifs découlant de</w:t>
      </w:r>
      <w:r>
        <w:rPr>
          <w:lang w:val="fr-CA"/>
        </w:rPr>
        <w:t xml:space="preserve"> la réponse canadienne au VIH, à l’hépatite C et aux ITSS</w:t>
      </w:r>
      <w:r w:rsidR="00CB1D71" w:rsidRPr="00EE0AEA">
        <w:rPr>
          <w:lang w:val="fr-CA"/>
        </w:rPr>
        <w:t xml:space="preserve">. </w:t>
      </w:r>
    </w:p>
    <w:p w14:paraId="734F7C3C" w14:textId="77777777" w:rsidR="00CB1D71" w:rsidRPr="00EE0AEA" w:rsidRDefault="004A56DB" w:rsidP="009E4264">
      <w:pPr>
        <w:rPr>
          <w:lang w:val="fr-CA"/>
        </w:rPr>
      </w:pPr>
      <w:r w:rsidRPr="00B8541A">
        <w:rPr>
          <w:lang w:val="fr-CA"/>
        </w:rPr>
        <w:t>L’effet du retrait de financement aux organismes de lutte contre le VIH sera ressenti d’un océan à l’autre et il affectera le plus lourdement les personnes qui vivent avec le VIH. Les organismes financés et ceux dont le financement a été amputé</w:t>
      </w:r>
      <w:r w:rsidR="005D5B02">
        <w:rPr>
          <w:lang w:val="fr-CA"/>
        </w:rPr>
        <w:t xml:space="preserve"> ou </w:t>
      </w:r>
      <w:r w:rsidRPr="00B8541A">
        <w:rPr>
          <w:lang w:val="fr-CA"/>
        </w:rPr>
        <w:t>aboli perçoivent un virage dans l’attribution du financement : on délaisse le financement de la prévention et du soutien, pour financer la prévention dans les populations clés uniquement,</w:t>
      </w:r>
      <w:r w:rsidR="00F73049" w:rsidRPr="00A3614A">
        <w:rPr>
          <w:lang w:val="fr-CA"/>
        </w:rPr>
        <w:t xml:space="preserve"> </w:t>
      </w:r>
      <w:r w:rsidR="00F73049" w:rsidRPr="005930D0">
        <w:rPr>
          <w:lang w:val="fr-CA"/>
        </w:rPr>
        <w:t>et cela laisse d’énormes fossés</w:t>
      </w:r>
      <w:r w:rsidR="00652DA7" w:rsidRPr="005930D0">
        <w:rPr>
          <w:lang w:val="fr-CA"/>
        </w:rPr>
        <w:t xml:space="preserve"> </w:t>
      </w:r>
      <w:r w:rsidR="00F73049" w:rsidRPr="005930D0">
        <w:rPr>
          <w:lang w:val="fr-CA"/>
        </w:rPr>
        <w:t>dans une population déjà vulnérable</w:t>
      </w:r>
      <w:r w:rsidR="00CB1D71" w:rsidRPr="005930D0">
        <w:rPr>
          <w:lang w:val="fr-CA"/>
        </w:rPr>
        <w:t xml:space="preserve">. </w:t>
      </w:r>
      <w:r w:rsidR="003B7414" w:rsidRPr="005930D0">
        <w:rPr>
          <w:lang w:val="fr-CA"/>
        </w:rPr>
        <w:t xml:space="preserve">Cela </w:t>
      </w:r>
      <w:r w:rsidR="00034CBF">
        <w:rPr>
          <w:lang w:val="fr-CA"/>
        </w:rPr>
        <w:t>aura pour effet</w:t>
      </w:r>
      <w:r w:rsidR="00F73049" w:rsidRPr="005930D0">
        <w:rPr>
          <w:lang w:val="fr-CA"/>
        </w:rPr>
        <w:t xml:space="preserve"> que </w:t>
      </w:r>
      <w:r w:rsidR="005D5B02">
        <w:rPr>
          <w:lang w:val="fr-CA"/>
        </w:rPr>
        <w:t>d</w:t>
      </w:r>
      <w:r w:rsidR="00F73049" w:rsidRPr="005930D0">
        <w:rPr>
          <w:lang w:val="fr-CA"/>
        </w:rPr>
        <w:t>es</w:t>
      </w:r>
      <w:r w:rsidR="00C3749D" w:rsidRPr="005930D0">
        <w:rPr>
          <w:lang w:val="fr-CA"/>
        </w:rPr>
        <w:t xml:space="preserve"> </w:t>
      </w:r>
      <w:r w:rsidR="003B7414" w:rsidRPr="005930D0">
        <w:rPr>
          <w:lang w:val="fr-CA"/>
        </w:rPr>
        <w:t>personnes vivant avec le VIH manque</w:t>
      </w:r>
      <w:r w:rsidR="00034CBF">
        <w:rPr>
          <w:lang w:val="fr-CA"/>
        </w:rPr>
        <w:t>ro</w:t>
      </w:r>
      <w:r w:rsidR="003B7414" w:rsidRPr="005930D0">
        <w:rPr>
          <w:lang w:val="fr-CA"/>
        </w:rPr>
        <w:t xml:space="preserve">nt de soutien et </w:t>
      </w:r>
      <w:r w:rsidR="00034CBF">
        <w:rPr>
          <w:lang w:val="fr-CA"/>
        </w:rPr>
        <w:t>délaisseront les</w:t>
      </w:r>
      <w:r w:rsidR="00F73049" w:rsidRPr="005930D0">
        <w:rPr>
          <w:lang w:val="fr-CA"/>
        </w:rPr>
        <w:t xml:space="preserve"> soins,</w:t>
      </w:r>
      <w:r w:rsidR="00C3749D" w:rsidRPr="005930D0">
        <w:rPr>
          <w:lang w:val="fr-CA"/>
        </w:rPr>
        <w:t xml:space="preserve"> </w:t>
      </w:r>
      <w:r w:rsidR="00F73049" w:rsidRPr="005930D0">
        <w:rPr>
          <w:lang w:val="fr-CA"/>
        </w:rPr>
        <w:t xml:space="preserve">ce qui ajoutera au nombre de personnes non traitées. Et considérant que </w:t>
      </w:r>
      <w:r w:rsidR="00C3749D" w:rsidRPr="005930D0">
        <w:rPr>
          <w:lang w:val="fr-CA"/>
        </w:rPr>
        <w:t>21</w:t>
      </w:r>
      <w:r w:rsidR="00F73049" w:rsidRPr="005930D0">
        <w:rPr>
          <w:lang w:val="fr-CA"/>
        </w:rPr>
        <w:t> </w:t>
      </w:r>
      <w:r w:rsidR="00C3749D" w:rsidRPr="005930D0">
        <w:rPr>
          <w:lang w:val="fr-CA"/>
        </w:rPr>
        <w:t xml:space="preserve">% </w:t>
      </w:r>
      <w:r w:rsidR="00F73049" w:rsidRPr="005930D0">
        <w:rPr>
          <w:lang w:val="fr-CA"/>
        </w:rPr>
        <w:t xml:space="preserve">des personnes </w:t>
      </w:r>
      <w:r w:rsidR="003B7414" w:rsidRPr="005930D0">
        <w:rPr>
          <w:lang w:val="fr-CA"/>
        </w:rPr>
        <w:t>vivant avec le VIH</w:t>
      </w:r>
      <w:r w:rsidR="00F73049" w:rsidRPr="005930D0">
        <w:rPr>
          <w:lang w:val="fr-CA"/>
        </w:rPr>
        <w:t xml:space="preserve"> ne sont pas diagnostiquées,</w:t>
      </w:r>
      <w:r w:rsidR="00C3749D" w:rsidRPr="005930D0">
        <w:rPr>
          <w:rStyle w:val="EndnoteReference"/>
          <w:lang w:val="fr-CA"/>
        </w:rPr>
        <w:endnoteReference w:id="1"/>
      </w:r>
      <w:r w:rsidR="00C3749D" w:rsidRPr="005930D0">
        <w:rPr>
          <w:lang w:val="fr-CA"/>
        </w:rPr>
        <w:t xml:space="preserve"> </w:t>
      </w:r>
      <w:r w:rsidR="00F73049" w:rsidRPr="005930D0">
        <w:rPr>
          <w:lang w:val="fr-CA"/>
        </w:rPr>
        <w:t xml:space="preserve">cela ne fera rien pour </w:t>
      </w:r>
      <w:r w:rsidR="005D5B02">
        <w:rPr>
          <w:lang w:val="fr-CA"/>
        </w:rPr>
        <w:t>contrer</w:t>
      </w:r>
      <w:r w:rsidR="00F73049" w:rsidRPr="005930D0">
        <w:rPr>
          <w:lang w:val="fr-CA"/>
        </w:rPr>
        <w:t xml:space="preserve"> une épidémie </w:t>
      </w:r>
      <w:r w:rsidR="006D11A4">
        <w:rPr>
          <w:lang w:val="fr-CA"/>
        </w:rPr>
        <w:t xml:space="preserve">qui est </w:t>
      </w:r>
      <w:r w:rsidR="00F73049" w:rsidRPr="005930D0">
        <w:rPr>
          <w:lang w:val="fr-CA"/>
        </w:rPr>
        <w:t xml:space="preserve">déjà </w:t>
      </w:r>
      <w:r w:rsidR="00F24F66">
        <w:rPr>
          <w:lang w:val="fr-CA"/>
        </w:rPr>
        <w:t>incontrôlable</w:t>
      </w:r>
      <w:r w:rsidR="00F73049" w:rsidRPr="005930D0">
        <w:rPr>
          <w:lang w:val="fr-CA"/>
        </w:rPr>
        <w:t xml:space="preserve"> dans certaines régions du pay</w:t>
      </w:r>
      <w:r w:rsidR="00F73049" w:rsidRPr="00761EC4">
        <w:rPr>
          <w:lang w:val="fr-CA"/>
        </w:rPr>
        <w:t>s</w:t>
      </w:r>
      <w:r w:rsidR="00C3749D" w:rsidRPr="00761EC4">
        <w:rPr>
          <w:lang w:val="fr-CA"/>
        </w:rPr>
        <w:t xml:space="preserve">. </w:t>
      </w:r>
      <w:r w:rsidR="00F73049" w:rsidRPr="00761EC4">
        <w:rPr>
          <w:lang w:val="fr-CA"/>
        </w:rPr>
        <w:t>Si l’on n’offre pas de services aux personnes vivant avec le VIH, le Canada ne peut avoir aucun espoir d’atteindre la cible 90-90-90 de l’ONUSIDA</w:t>
      </w:r>
      <w:r w:rsidR="00F73049" w:rsidRPr="00761EC4">
        <w:rPr>
          <w:rStyle w:val="Hyperlink"/>
          <w:color w:val="auto"/>
          <w:u w:val="none"/>
          <w:lang w:val="fr-CA"/>
        </w:rPr>
        <w:t>,</w:t>
      </w:r>
      <w:r w:rsidR="008368DE" w:rsidRPr="00761EC4">
        <w:rPr>
          <w:rStyle w:val="EndnoteReference"/>
          <w:lang w:val="fr-CA"/>
        </w:rPr>
        <w:endnoteReference w:id="2"/>
      </w:r>
      <w:r w:rsidR="00CB1D71" w:rsidRPr="00761EC4">
        <w:rPr>
          <w:lang w:val="fr-CA"/>
        </w:rPr>
        <w:t xml:space="preserve"> </w:t>
      </w:r>
      <w:r w:rsidR="00B74BCA" w:rsidRPr="00761EC4">
        <w:rPr>
          <w:lang w:val="fr-CA"/>
        </w:rPr>
        <w:t>malgré son appui public à celle-ci</w:t>
      </w:r>
      <w:r w:rsidR="003B7414" w:rsidRPr="00761EC4">
        <w:rPr>
          <w:lang w:val="fr-CA"/>
        </w:rPr>
        <w:t>.</w:t>
      </w:r>
      <w:r w:rsidR="00CB1D71" w:rsidRPr="00761EC4">
        <w:rPr>
          <w:rStyle w:val="EndnoteReference"/>
          <w:lang w:val="fr-CA"/>
        </w:rPr>
        <w:endnoteReference w:id="3"/>
      </w:r>
      <w:r w:rsidR="00761EC4">
        <w:rPr>
          <w:lang w:val="fr-CA"/>
        </w:rPr>
        <w:t xml:space="preserve"> </w:t>
      </w:r>
    </w:p>
    <w:p w14:paraId="4B5DF41F" w14:textId="77777777" w:rsidR="00CB1D71" w:rsidRPr="00EE0AEA" w:rsidRDefault="003B7414" w:rsidP="009E4264">
      <w:pPr>
        <w:rPr>
          <w:lang w:val="fr-CA"/>
        </w:rPr>
      </w:pPr>
      <w:r w:rsidRPr="00075399">
        <w:rPr>
          <w:lang w:val="fr-CA"/>
        </w:rPr>
        <w:t>Les cycles budg</w:t>
      </w:r>
      <w:r w:rsidR="00133F01" w:rsidRPr="00075399">
        <w:rPr>
          <w:lang w:val="fr-CA"/>
        </w:rPr>
        <w:t>éta</w:t>
      </w:r>
      <w:r w:rsidRPr="00075399">
        <w:rPr>
          <w:lang w:val="fr-CA"/>
        </w:rPr>
        <w:t>ires précédents, tant pour la lutte contre le sida que celle contre l’hépatite C, dévoilaient publiquement les informations concernant les attentes</w:t>
      </w:r>
      <w:r w:rsidR="00CB1D71" w:rsidRPr="00075399">
        <w:rPr>
          <w:lang w:val="fr-CA"/>
        </w:rPr>
        <w:t xml:space="preserve"> </w:t>
      </w:r>
      <w:r w:rsidRPr="00075399">
        <w:rPr>
          <w:lang w:val="fr-CA"/>
        </w:rPr>
        <w:t xml:space="preserve">ainsi que </w:t>
      </w:r>
      <w:r w:rsidR="00E23035" w:rsidRPr="00075399">
        <w:rPr>
          <w:lang w:val="fr-CA"/>
        </w:rPr>
        <w:t>le</w:t>
      </w:r>
      <w:r w:rsidRPr="00075399">
        <w:rPr>
          <w:lang w:val="fr-CA"/>
        </w:rPr>
        <w:t xml:space="preserve"> modèle de financement </w:t>
      </w:r>
      <w:r w:rsidR="00E23035" w:rsidRPr="00075399">
        <w:rPr>
          <w:lang w:val="fr-CA"/>
        </w:rPr>
        <w:t xml:space="preserve">applicable </w:t>
      </w:r>
      <w:r w:rsidRPr="00075399">
        <w:rPr>
          <w:lang w:val="fr-CA"/>
        </w:rPr>
        <w:t>à toutes les demandes</w:t>
      </w:r>
      <w:r w:rsidR="00CB1D71" w:rsidRPr="00075399">
        <w:rPr>
          <w:lang w:val="fr-CA"/>
        </w:rPr>
        <w:t xml:space="preserve">. </w:t>
      </w:r>
      <w:r w:rsidRPr="00075399">
        <w:rPr>
          <w:lang w:val="fr-CA"/>
        </w:rPr>
        <w:t>Or on n’a pas offert ces informations dans le cas du FIC</w:t>
      </w:r>
      <w:r w:rsidR="00CB1D71" w:rsidRPr="00075399">
        <w:rPr>
          <w:lang w:val="fr-CA"/>
        </w:rPr>
        <w:t xml:space="preserve">. </w:t>
      </w:r>
      <w:r w:rsidRPr="00075399">
        <w:rPr>
          <w:lang w:val="fr-CA"/>
        </w:rPr>
        <w:t>Le nouveau modèle de financem</w:t>
      </w:r>
      <w:r w:rsidR="00E23035" w:rsidRPr="00075399">
        <w:rPr>
          <w:lang w:val="fr-CA"/>
        </w:rPr>
        <w:t>ent et son processus de demande</w:t>
      </w:r>
      <w:r w:rsidRPr="00075399">
        <w:rPr>
          <w:lang w:val="fr-CA"/>
        </w:rPr>
        <w:t xml:space="preserve"> ont été développés </w:t>
      </w:r>
      <w:r w:rsidRPr="00075399">
        <w:rPr>
          <w:lang w:val="fr-CA"/>
        </w:rPr>
        <w:lastRenderedPageBreak/>
        <w:t>en privé</w:t>
      </w:r>
      <w:r>
        <w:rPr>
          <w:lang w:val="fr-CA"/>
        </w:rPr>
        <w:t xml:space="preserve"> par l’Agence de la santé publique du Canada</w:t>
      </w:r>
      <w:r w:rsidR="00CB1D71" w:rsidRPr="00EE0AEA">
        <w:rPr>
          <w:lang w:val="fr-CA"/>
        </w:rPr>
        <w:t xml:space="preserve"> </w:t>
      </w:r>
      <w:r w:rsidR="00141D13" w:rsidRPr="00EE0AEA">
        <w:rPr>
          <w:lang w:val="fr-CA"/>
        </w:rPr>
        <w:t>(</w:t>
      </w:r>
      <w:r>
        <w:rPr>
          <w:lang w:val="fr-CA"/>
        </w:rPr>
        <w:t>ASPC</w:t>
      </w:r>
      <w:r w:rsidR="00141D13" w:rsidRPr="00EE0AEA">
        <w:rPr>
          <w:lang w:val="fr-CA"/>
        </w:rPr>
        <w:t>)</w:t>
      </w:r>
      <w:r>
        <w:rPr>
          <w:lang w:val="fr-CA"/>
        </w:rPr>
        <w:t xml:space="preserve">. </w:t>
      </w:r>
      <w:r w:rsidR="00E23035">
        <w:rPr>
          <w:lang w:val="fr-CA"/>
        </w:rPr>
        <w:t>D</w:t>
      </w:r>
      <w:r>
        <w:rPr>
          <w:lang w:val="fr-CA"/>
        </w:rPr>
        <w:t xml:space="preserve">es consultations communautaires ont eu lieu, mais </w:t>
      </w:r>
      <w:r w:rsidR="00E23035">
        <w:rPr>
          <w:lang w:val="fr-CA"/>
        </w:rPr>
        <w:t>le</w:t>
      </w:r>
      <w:r>
        <w:rPr>
          <w:lang w:val="fr-CA"/>
        </w:rPr>
        <w:t xml:space="preserve">s critères sans cesse changeants ont semé la confusion quant à la </w:t>
      </w:r>
      <w:r w:rsidR="00E23035">
        <w:rPr>
          <w:lang w:val="fr-CA"/>
        </w:rPr>
        <w:t xml:space="preserve">façon </w:t>
      </w:r>
      <w:r>
        <w:rPr>
          <w:lang w:val="fr-CA"/>
        </w:rPr>
        <w:t xml:space="preserve">dont ils </w:t>
      </w:r>
      <w:r w:rsidR="00E23035">
        <w:rPr>
          <w:lang w:val="fr-CA"/>
        </w:rPr>
        <w:t>allaient être</w:t>
      </w:r>
      <w:r>
        <w:rPr>
          <w:lang w:val="fr-CA"/>
        </w:rPr>
        <w:t xml:space="preserve"> appliqués lors de la réception des demandes et quant aux données objectives qui allaient être utilisées dans le processus d’évaluation</w:t>
      </w:r>
      <w:r w:rsidR="00CB1D71" w:rsidRPr="00EE0AEA">
        <w:rPr>
          <w:lang w:val="fr-CA"/>
        </w:rPr>
        <w:t>.</w:t>
      </w:r>
      <w:r w:rsidR="00F33FAB" w:rsidRPr="00EE0AEA">
        <w:rPr>
          <w:lang w:val="fr-CA"/>
        </w:rPr>
        <w:t xml:space="preserve"> </w:t>
      </w:r>
      <w:r w:rsidR="00711E91">
        <w:rPr>
          <w:lang w:val="fr-CA"/>
        </w:rPr>
        <w:t xml:space="preserve">De plus, </w:t>
      </w:r>
      <w:r w:rsidR="00AC0335">
        <w:rPr>
          <w:lang w:val="fr-CA"/>
        </w:rPr>
        <w:t>on ne sait pas clairement</w:t>
      </w:r>
      <w:r w:rsidR="00711E91">
        <w:rPr>
          <w:lang w:val="fr-CA"/>
        </w:rPr>
        <w:t xml:space="preserve"> si le processus de développement et les consultations étaient conformes au principe GIPA, </w:t>
      </w:r>
      <w:r w:rsidR="00B7518E">
        <w:rPr>
          <w:lang w:val="fr-CA"/>
        </w:rPr>
        <w:t>conçu spécifiquement pour assurer l’implication accrue et significative des personnes vivant avec le VIH</w:t>
      </w:r>
      <w:r w:rsidR="00F33FAB" w:rsidRPr="00EE0AEA">
        <w:rPr>
          <w:lang w:val="fr-CA"/>
        </w:rPr>
        <w:t>.</w:t>
      </w:r>
    </w:p>
    <w:p w14:paraId="6E6B1982" w14:textId="77777777" w:rsidR="00CB1D71" w:rsidRPr="00EE0AEA" w:rsidRDefault="00C06DC9" w:rsidP="009E4264">
      <w:pPr>
        <w:rPr>
          <w:lang w:val="fr-CA"/>
        </w:rPr>
      </w:pPr>
      <w:r>
        <w:rPr>
          <w:lang w:val="fr-CA"/>
        </w:rPr>
        <w:t>Mentionnons que</w:t>
      </w:r>
      <w:r w:rsidR="00B7518E">
        <w:rPr>
          <w:lang w:val="fr-CA"/>
        </w:rPr>
        <w:t xml:space="preserve"> les cycles budgétaires précédents ne combinaient pas en un seul bassin de financement les réseaux de services </w:t>
      </w:r>
      <w:r>
        <w:rPr>
          <w:lang w:val="fr-CA"/>
        </w:rPr>
        <w:t>liés au</w:t>
      </w:r>
      <w:r w:rsidR="00B7518E">
        <w:rPr>
          <w:lang w:val="fr-CA"/>
        </w:rPr>
        <w:t xml:space="preserve"> VIH,</w:t>
      </w:r>
      <w:r>
        <w:rPr>
          <w:lang w:val="fr-CA"/>
        </w:rPr>
        <w:t xml:space="preserve"> à</w:t>
      </w:r>
      <w:r w:rsidR="00B7518E">
        <w:rPr>
          <w:lang w:val="fr-CA"/>
        </w:rPr>
        <w:t xml:space="preserve"> l’hépatite C et </w:t>
      </w:r>
      <w:r>
        <w:rPr>
          <w:lang w:val="fr-CA"/>
        </w:rPr>
        <w:t xml:space="preserve">aux </w:t>
      </w:r>
      <w:r w:rsidR="00B7518E">
        <w:rPr>
          <w:lang w:val="fr-CA"/>
        </w:rPr>
        <w:t>autres ITSS</w:t>
      </w:r>
      <w:r w:rsidR="00CB1D71" w:rsidRPr="00EE0AEA">
        <w:rPr>
          <w:lang w:val="fr-CA"/>
        </w:rPr>
        <w:t xml:space="preserve">. </w:t>
      </w:r>
      <w:r w:rsidR="00B7518E">
        <w:rPr>
          <w:lang w:val="fr-CA"/>
        </w:rPr>
        <w:t>En fusionnant</w:t>
      </w:r>
      <w:r w:rsidR="00A03803">
        <w:rPr>
          <w:lang w:val="fr-CA"/>
        </w:rPr>
        <w:t xml:space="preserve"> ces secteurs</w:t>
      </w:r>
      <w:r w:rsidR="00B7518E">
        <w:rPr>
          <w:lang w:val="fr-CA"/>
        </w:rPr>
        <w:t>, l’ASPC a réduit le</w:t>
      </w:r>
      <w:r w:rsidR="00A03803">
        <w:rPr>
          <w:lang w:val="fr-CA"/>
        </w:rPr>
        <w:t>s</w:t>
      </w:r>
      <w:r w:rsidR="00B7518E">
        <w:rPr>
          <w:lang w:val="fr-CA"/>
        </w:rPr>
        <w:t xml:space="preserve"> </w:t>
      </w:r>
      <w:r w:rsidR="00A03803">
        <w:rPr>
          <w:lang w:val="fr-CA"/>
        </w:rPr>
        <w:t xml:space="preserve">fonds </w:t>
      </w:r>
      <w:r>
        <w:rPr>
          <w:lang w:val="fr-CA"/>
        </w:rPr>
        <w:t>alloués</w:t>
      </w:r>
      <w:r w:rsidR="00A03803">
        <w:rPr>
          <w:lang w:val="fr-CA"/>
        </w:rPr>
        <w:t xml:space="preserve"> à</w:t>
      </w:r>
      <w:r w:rsidR="00B7518E">
        <w:rPr>
          <w:lang w:val="fr-CA"/>
        </w:rPr>
        <w:t xml:space="preserve"> chacun</w:t>
      </w:r>
      <w:r w:rsidR="00CB1D71" w:rsidRPr="00EE0AEA">
        <w:rPr>
          <w:lang w:val="fr-CA"/>
        </w:rPr>
        <w:t xml:space="preserve">. </w:t>
      </w:r>
    </w:p>
    <w:p w14:paraId="1DBE7EAC" w14:textId="77777777" w:rsidR="0016504B" w:rsidRPr="00EE0AEA" w:rsidRDefault="00A03803" w:rsidP="009E4264">
      <w:pPr>
        <w:rPr>
          <w:lang w:val="fr-CA"/>
        </w:rPr>
      </w:pPr>
      <w:r>
        <w:rPr>
          <w:lang w:val="fr-CA"/>
        </w:rPr>
        <w:t xml:space="preserve">L’élément le plus préoccupant est l’absence de croissance des fonds disponibles, dans </w:t>
      </w:r>
      <w:r w:rsidR="00584E5C">
        <w:rPr>
          <w:lang w:val="fr-CA"/>
        </w:rPr>
        <w:t>le</w:t>
      </w:r>
      <w:r>
        <w:rPr>
          <w:lang w:val="fr-CA"/>
        </w:rPr>
        <w:t xml:space="preserve"> contexte où </w:t>
      </w:r>
      <w:r w:rsidR="00337885">
        <w:rPr>
          <w:lang w:val="fr-CA"/>
        </w:rPr>
        <w:t>le</w:t>
      </w:r>
      <w:r>
        <w:rPr>
          <w:lang w:val="fr-CA"/>
        </w:rPr>
        <w:t xml:space="preserve"> gouvernement libéral </w:t>
      </w:r>
      <w:r w:rsidR="00337885">
        <w:rPr>
          <w:lang w:val="fr-CA"/>
        </w:rPr>
        <w:t xml:space="preserve">précédent </w:t>
      </w:r>
      <w:r>
        <w:rPr>
          <w:lang w:val="fr-CA"/>
        </w:rPr>
        <w:t>avait promis en</w:t>
      </w:r>
      <w:r w:rsidR="00CB1D71" w:rsidRPr="00EE0AEA">
        <w:rPr>
          <w:lang w:val="fr-CA"/>
        </w:rPr>
        <w:t xml:space="preserve"> 2004 </w:t>
      </w:r>
      <w:r>
        <w:rPr>
          <w:lang w:val="fr-CA"/>
        </w:rPr>
        <w:t>d’augmenter le financement de l’Initiative fédérale (IF) de lutte contre le VIH/sida au</w:t>
      </w:r>
      <w:r w:rsidR="00CB1D71" w:rsidRPr="00EE0AEA">
        <w:rPr>
          <w:lang w:val="fr-CA"/>
        </w:rPr>
        <w:t xml:space="preserve"> </w:t>
      </w:r>
      <w:r>
        <w:rPr>
          <w:lang w:val="fr-CA"/>
        </w:rPr>
        <w:t>Canada à</w:t>
      </w:r>
      <w:r w:rsidR="00CB1D71" w:rsidRPr="00EE0AEA">
        <w:rPr>
          <w:lang w:val="fr-CA"/>
        </w:rPr>
        <w:t xml:space="preserve"> </w:t>
      </w:r>
      <w:r>
        <w:rPr>
          <w:lang w:val="fr-CA"/>
        </w:rPr>
        <w:t>84,</w:t>
      </w:r>
      <w:r w:rsidR="00CB1D71" w:rsidRPr="00EE0AEA">
        <w:rPr>
          <w:lang w:val="fr-CA"/>
        </w:rPr>
        <w:t>4 million</w:t>
      </w:r>
      <w:r>
        <w:rPr>
          <w:lang w:val="fr-CA"/>
        </w:rPr>
        <w:t xml:space="preserve">s $ </w:t>
      </w:r>
      <w:r w:rsidR="00D3323F">
        <w:rPr>
          <w:lang w:val="fr-CA"/>
        </w:rPr>
        <w:t>pour</w:t>
      </w:r>
      <w:r w:rsidR="00142566">
        <w:rPr>
          <w:lang w:val="fr-CA"/>
        </w:rPr>
        <w:t xml:space="preserve"> l’année budgétaire</w:t>
      </w:r>
      <w:r w:rsidR="00CB1D71" w:rsidRPr="00EE0AEA">
        <w:rPr>
          <w:lang w:val="fr-CA"/>
        </w:rPr>
        <w:t xml:space="preserve"> 2008-2009. </w:t>
      </w:r>
      <w:r w:rsidR="00142566">
        <w:rPr>
          <w:lang w:val="fr-CA"/>
        </w:rPr>
        <w:t>Cette allocation de financement</w:t>
      </w:r>
      <w:r w:rsidR="00CB1D71" w:rsidRPr="00EE0AEA">
        <w:rPr>
          <w:lang w:val="fr-CA"/>
        </w:rPr>
        <w:t xml:space="preserve">, </w:t>
      </w:r>
      <w:r w:rsidR="00142566">
        <w:rPr>
          <w:lang w:val="fr-CA"/>
        </w:rPr>
        <w:t>d’où viennent les fonds destinés au FIC</w:t>
      </w:r>
      <w:r w:rsidR="00CB1D71" w:rsidRPr="00EE0AEA">
        <w:rPr>
          <w:lang w:val="fr-CA"/>
        </w:rPr>
        <w:t xml:space="preserve">, </w:t>
      </w:r>
      <w:r w:rsidR="00142566">
        <w:rPr>
          <w:lang w:val="fr-CA"/>
        </w:rPr>
        <w:t>s’élève présentement à</w:t>
      </w:r>
      <w:r w:rsidR="00CB1D71" w:rsidRPr="00EE0AEA">
        <w:rPr>
          <w:lang w:val="fr-CA"/>
        </w:rPr>
        <w:t xml:space="preserve"> </w:t>
      </w:r>
      <w:r w:rsidR="00142566">
        <w:rPr>
          <w:lang w:val="fr-CA"/>
        </w:rPr>
        <w:t>72,</w:t>
      </w:r>
      <w:r w:rsidR="00CB1D71" w:rsidRPr="00EE0AEA">
        <w:rPr>
          <w:lang w:val="fr-CA"/>
        </w:rPr>
        <w:t>6 million</w:t>
      </w:r>
      <w:r w:rsidR="00142566">
        <w:rPr>
          <w:lang w:val="fr-CA"/>
        </w:rPr>
        <w:t>s $</w:t>
      </w:r>
      <w:r w:rsidR="00CB1D71" w:rsidRPr="00EE0AEA">
        <w:rPr>
          <w:lang w:val="fr-CA"/>
        </w:rPr>
        <w:t xml:space="preserve">. </w:t>
      </w:r>
      <w:r w:rsidR="00142566">
        <w:rPr>
          <w:lang w:val="fr-CA"/>
        </w:rPr>
        <w:t xml:space="preserve">Puisque le budget de l’IF n’a pas </w:t>
      </w:r>
      <w:r w:rsidR="00D3323F">
        <w:rPr>
          <w:lang w:val="fr-CA"/>
        </w:rPr>
        <w:t xml:space="preserve">été </w:t>
      </w:r>
      <w:r w:rsidR="00142566">
        <w:rPr>
          <w:lang w:val="fr-CA"/>
        </w:rPr>
        <w:t xml:space="preserve">augmenté depuis plusieurs années et que plus de </w:t>
      </w:r>
      <w:r w:rsidR="0016504B" w:rsidRPr="00EE0AEA">
        <w:rPr>
          <w:lang w:val="fr-CA"/>
        </w:rPr>
        <w:t>13 million</w:t>
      </w:r>
      <w:r w:rsidR="00142566">
        <w:rPr>
          <w:lang w:val="fr-CA"/>
        </w:rPr>
        <w:t xml:space="preserve">s $ sont demeurés non investis entre </w:t>
      </w:r>
      <w:r w:rsidR="0016504B" w:rsidRPr="00EE0AEA">
        <w:rPr>
          <w:lang w:val="fr-CA"/>
        </w:rPr>
        <w:t xml:space="preserve">2008 </w:t>
      </w:r>
      <w:r w:rsidR="00142566">
        <w:rPr>
          <w:lang w:val="fr-CA"/>
        </w:rPr>
        <w:t>et</w:t>
      </w:r>
      <w:r w:rsidR="0016504B" w:rsidRPr="00EE0AEA">
        <w:rPr>
          <w:lang w:val="fr-CA"/>
        </w:rPr>
        <w:t xml:space="preserve"> 2013</w:t>
      </w:r>
      <w:r w:rsidR="00142566">
        <w:rPr>
          <w:lang w:val="fr-CA"/>
        </w:rPr>
        <w:t>,</w:t>
      </w:r>
      <w:r w:rsidR="0016504B" w:rsidRPr="00EE0AEA">
        <w:rPr>
          <w:rStyle w:val="EndnoteReference"/>
          <w:lang w:val="fr-CA"/>
        </w:rPr>
        <w:endnoteReference w:id="4"/>
      </w:r>
      <w:r w:rsidR="00CB1D71" w:rsidRPr="00EE0AEA">
        <w:rPr>
          <w:lang w:val="fr-CA"/>
        </w:rPr>
        <w:t xml:space="preserve"> </w:t>
      </w:r>
      <w:r w:rsidR="00142566">
        <w:rPr>
          <w:lang w:val="fr-CA"/>
        </w:rPr>
        <w:t xml:space="preserve">il serait </w:t>
      </w:r>
      <w:r w:rsidR="00D3323F">
        <w:rPr>
          <w:lang w:val="fr-CA"/>
        </w:rPr>
        <w:t>faux</w:t>
      </w:r>
      <w:r w:rsidR="00142566">
        <w:rPr>
          <w:lang w:val="fr-CA"/>
        </w:rPr>
        <w:t xml:space="preserve"> d’affirmer que le secteur n’est pas sous-financé</w:t>
      </w:r>
      <w:r w:rsidR="00CB1D71" w:rsidRPr="00EE0AEA">
        <w:rPr>
          <w:lang w:val="fr-CA"/>
        </w:rPr>
        <w:t>.</w:t>
      </w:r>
      <w:r w:rsidR="0016504B" w:rsidRPr="00EE0AEA">
        <w:rPr>
          <w:lang w:val="fr-CA"/>
        </w:rPr>
        <w:t xml:space="preserve"> </w:t>
      </w:r>
      <w:r w:rsidR="00D3323F">
        <w:rPr>
          <w:lang w:val="fr-CA"/>
        </w:rPr>
        <w:t>Et</w:t>
      </w:r>
      <w:r w:rsidR="008A7961">
        <w:rPr>
          <w:lang w:val="fr-CA"/>
        </w:rPr>
        <w:t xml:space="preserve"> c</w:t>
      </w:r>
      <w:r w:rsidR="00142566">
        <w:rPr>
          <w:lang w:val="fr-CA"/>
        </w:rPr>
        <w:t xml:space="preserve">ompte tenu du budget stagnant de l’IF, il est irréaliste </w:t>
      </w:r>
      <w:r w:rsidR="00D3323F">
        <w:rPr>
          <w:lang w:val="fr-CA"/>
        </w:rPr>
        <w:t>de prévoir que</w:t>
      </w:r>
      <w:r w:rsidR="00142566">
        <w:rPr>
          <w:lang w:val="fr-CA"/>
        </w:rPr>
        <w:t xml:space="preserve"> le FIC </w:t>
      </w:r>
      <w:r w:rsidR="008A7961">
        <w:rPr>
          <w:lang w:val="fr-CA"/>
        </w:rPr>
        <w:t>ait recours</w:t>
      </w:r>
      <w:r w:rsidR="00142566">
        <w:rPr>
          <w:lang w:val="fr-CA"/>
        </w:rPr>
        <w:t xml:space="preserve"> à celle-ci pour couvrir les activités de trois réseaux de soutien communautaire distincts sans </w:t>
      </w:r>
      <w:r w:rsidR="00D3323F">
        <w:rPr>
          <w:lang w:val="fr-CA"/>
        </w:rPr>
        <w:t>que son allocation soit augmentée</w:t>
      </w:r>
      <w:r w:rsidR="000551FC" w:rsidRPr="00EE0AEA">
        <w:rPr>
          <w:lang w:val="fr-CA"/>
        </w:rPr>
        <w:t>.</w:t>
      </w:r>
    </w:p>
    <w:p w14:paraId="300E5C6F" w14:textId="77777777" w:rsidR="00CB1D71" w:rsidRPr="00EE0AEA" w:rsidRDefault="008A7961" w:rsidP="009E4264">
      <w:pPr>
        <w:rPr>
          <w:rFonts w:cstheme="minorHAnsi"/>
          <w:shd w:val="clear" w:color="auto" w:fill="FFFFFF"/>
          <w:lang w:val="fr-CA"/>
        </w:rPr>
      </w:pPr>
      <w:r w:rsidRPr="00AC5A62">
        <w:rPr>
          <w:lang w:val="fr-CA"/>
        </w:rPr>
        <w:t xml:space="preserve">Nous sommes conscients que votre ministère avait </w:t>
      </w:r>
      <w:r w:rsidR="00DC6308" w:rsidRPr="00AC5A62">
        <w:rPr>
          <w:lang w:val="fr-CA"/>
        </w:rPr>
        <w:t xml:space="preserve">clairement </w:t>
      </w:r>
      <w:r w:rsidR="00D3323F" w:rsidRPr="00AC5A62">
        <w:rPr>
          <w:lang w:val="fr-CA"/>
        </w:rPr>
        <w:t>précisé,</w:t>
      </w:r>
      <w:r w:rsidRPr="00AC5A62">
        <w:rPr>
          <w:lang w:val="fr-CA"/>
        </w:rPr>
        <w:t xml:space="preserve"> dès le </w:t>
      </w:r>
      <w:r w:rsidR="00D3323F" w:rsidRPr="00AC5A62">
        <w:rPr>
          <w:lang w:val="fr-CA"/>
        </w:rPr>
        <w:t xml:space="preserve">début, </w:t>
      </w:r>
      <w:r w:rsidRPr="00AC5A62">
        <w:rPr>
          <w:lang w:val="fr-CA"/>
        </w:rPr>
        <w:t xml:space="preserve">que ce processus </w:t>
      </w:r>
      <w:r w:rsidR="00D3323F" w:rsidRPr="00AC5A62">
        <w:rPr>
          <w:lang w:val="fr-CA"/>
        </w:rPr>
        <w:t>ne visait pas</w:t>
      </w:r>
      <w:r w:rsidRPr="00AC5A62">
        <w:rPr>
          <w:lang w:val="fr-CA"/>
        </w:rPr>
        <w:t xml:space="preserve"> un</w:t>
      </w:r>
      <w:r w:rsidR="00CB1D71" w:rsidRPr="00AC5A62">
        <w:rPr>
          <w:lang w:val="fr-CA"/>
        </w:rPr>
        <w:t xml:space="preserve"> statu quo </w:t>
      </w:r>
      <w:r w:rsidRPr="00AC5A62">
        <w:rPr>
          <w:lang w:val="fr-CA"/>
        </w:rPr>
        <w:t xml:space="preserve">du financement et </w:t>
      </w:r>
      <w:r w:rsidR="00DC6308" w:rsidRPr="00AC5A62">
        <w:rPr>
          <w:lang w:val="fr-CA"/>
        </w:rPr>
        <w:t>que nous devions</w:t>
      </w:r>
      <w:r w:rsidRPr="00AC5A62">
        <w:rPr>
          <w:lang w:val="fr-CA"/>
        </w:rPr>
        <w:t xml:space="preserve"> nous attendre</w:t>
      </w:r>
      <w:r w:rsidR="00CB1D71" w:rsidRPr="00AC5A62">
        <w:rPr>
          <w:lang w:val="fr-CA"/>
        </w:rPr>
        <w:t xml:space="preserve"> </w:t>
      </w:r>
      <w:r w:rsidRPr="00AC5A62">
        <w:rPr>
          <w:lang w:val="fr-CA"/>
        </w:rPr>
        <w:t xml:space="preserve">à un </w:t>
      </w:r>
      <w:r w:rsidR="00DC6308" w:rsidRPr="00AC5A62">
        <w:rPr>
          <w:lang w:val="fr-CA"/>
        </w:rPr>
        <w:t>changement</w:t>
      </w:r>
      <w:r w:rsidRPr="00AC5A62">
        <w:rPr>
          <w:lang w:val="fr-CA"/>
        </w:rPr>
        <w:t xml:space="preserve"> du paysage financier</w:t>
      </w:r>
      <w:r w:rsidR="00CB1D71" w:rsidRPr="00AC5A62">
        <w:rPr>
          <w:lang w:val="fr-CA"/>
        </w:rPr>
        <w:t xml:space="preserve">. </w:t>
      </w:r>
      <w:r w:rsidR="005A65CE" w:rsidRPr="00AC5A62">
        <w:rPr>
          <w:lang w:val="fr-CA"/>
        </w:rPr>
        <w:t>Mais</w:t>
      </w:r>
      <w:r w:rsidR="00DC6308" w:rsidRPr="00AC5A62">
        <w:rPr>
          <w:lang w:val="fr-CA"/>
        </w:rPr>
        <w:t xml:space="preserve"> nous n’aurions jamais pu prévoir les coupes financières dévastatrices qu’ont subies tant de programmes communautaires importants et </w:t>
      </w:r>
      <w:r w:rsidR="005A65CE" w:rsidRPr="00AC5A62">
        <w:rPr>
          <w:lang w:val="fr-CA"/>
        </w:rPr>
        <w:t>établis</w:t>
      </w:r>
      <w:r w:rsidR="00CB1D71" w:rsidRPr="00AC5A62">
        <w:rPr>
          <w:lang w:val="fr-CA"/>
        </w:rPr>
        <w:t xml:space="preserve">. </w:t>
      </w:r>
      <w:r w:rsidR="00DC6308" w:rsidRPr="00AC5A62">
        <w:rPr>
          <w:lang w:val="fr-CA"/>
        </w:rPr>
        <w:t xml:space="preserve">Nous ne disons pas que les projets financés </w:t>
      </w:r>
      <w:r w:rsidR="005D5B02">
        <w:rPr>
          <w:lang w:val="fr-CA"/>
        </w:rPr>
        <w:t xml:space="preserve">(auprès d’organismes nouveaux ou établis) </w:t>
      </w:r>
      <w:r w:rsidR="00DC6308" w:rsidRPr="00AC5A62">
        <w:rPr>
          <w:lang w:val="fr-CA"/>
        </w:rPr>
        <w:t>ne méritent pas de l’être; et nous ne sommes pas contre l’octroi de financement à de nouveaux organismes communautaires</w:t>
      </w:r>
      <w:r w:rsidR="00CB1D71" w:rsidRPr="00AC5A62">
        <w:rPr>
          <w:rFonts w:cstheme="minorHAnsi"/>
          <w:shd w:val="clear" w:color="auto" w:fill="FFFFFF"/>
          <w:lang w:val="fr-CA"/>
        </w:rPr>
        <w:t xml:space="preserve">. </w:t>
      </w:r>
      <w:r w:rsidR="00DC6308" w:rsidRPr="00AC5A62">
        <w:rPr>
          <w:rFonts w:cstheme="minorHAnsi"/>
          <w:shd w:val="clear" w:color="auto" w:fill="FFFFFF"/>
          <w:lang w:val="fr-CA"/>
        </w:rPr>
        <w:t>Nous sommes favorables à une augmentation de services à la communauté</w:t>
      </w:r>
      <w:r w:rsidR="00CB1D71" w:rsidRPr="00AC5A62">
        <w:rPr>
          <w:rFonts w:cstheme="minorHAnsi"/>
          <w:shd w:val="clear" w:color="auto" w:fill="FFFFFF"/>
          <w:lang w:val="fr-CA"/>
        </w:rPr>
        <w:t xml:space="preserve">. </w:t>
      </w:r>
      <w:r w:rsidR="00DC6308" w:rsidRPr="00AC5A62">
        <w:rPr>
          <w:rFonts w:cstheme="minorHAnsi"/>
          <w:shd w:val="clear" w:color="auto" w:fill="FFFFFF"/>
          <w:lang w:val="fr-CA"/>
        </w:rPr>
        <w:t>Cependant, il faut être prudent pour ne pas démanteler les réseaux de soutien qui existent, simplement pour donner l’impression de servir de nouvelles populations – sinon, des gens se retrouveront privés de services sur lesquels ils comptent. On ne peut pas prendre le risque d’un recul des résultats de santé et facteurs sociaux des personnes vivant avec le VIH et l’hépatite</w:t>
      </w:r>
      <w:r w:rsidR="00CB1D71" w:rsidRPr="00AC5A62">
        <w:rPr>
          <w:rFonts w:cstheme="minorHAnsi"/>
          <w:shd w:val="clear" w:color="auto" w:fill="FFFFFF"/>
          <w:lang w:val="fr-CA"/>
        </w:rPr>
        <w:t xml:space="preserve"> C </w:t>
      </w:r>
      <w:r w:rsidR="00DC6308" w:rsidRPr="00AC5A62">
        <w:rPr>
          <w:rFonts w:cstheme="minorHAnsi"/>
          <w:shd w:val="clear" w:color="auto" w:fill="FFFFFF"/>
          <w:lang w:val="fr-CA"/>
        </w:rPr>
        <w:t>en laissant ces personnes avec un réseau de soutien très</w:t>
      </w:r>
      <w:r w:rsidR="007E0B22" w:rsidRPr="00AC5A62">
        <w:rPr>
          <w:rFonts w:cstheme="minorHAnsi"/>
          <w:shd w:val="clear" w:color="auto" w:fill="FFFFFF"/>
          <w:lang w:val="fr-CA"/>
        </w:rPr>
        <w:t xml:space="preserve"> limité, voire nul</w:t>
      </w:r>
      <w:r w:rsidR="00CB1D71" w:rsidRPr="00AC5A62">
        <w:rPr>
          <w:rFonts w:cstheme="minorHAnsi"/>
          <w:shd w:val="clear" w:color="auto" w:fill="FFFFFF"/>
          <w:lang w:val="fr-CA"/>
        </w:rPr>
        <w:t>.</w:t>
      </w:r>
      <w:r w:rsidR="00CB1D71" w:rsidRPr="00EE0AEA">
        <w:rPr>
          <w:rFonts w:cstheme="minorHAnsi"/>
          <w:shd w:val="clear" w:color="auto" w:fill="FFFFFF"/>
          <w:lang w:val="fr-CA"/>
        </w:rPr>
        <w:t xml:space="preserve"> </w:t>
      </w:r>
    </w:p>
    <w:p w14:paraId="31FCE0E5" w14:textId="77777777" w:rsidR="00CB1D71" w:rsidRPr="00EE0AEA" w:rsidRDefault="00DC6308" w:rsidP="009E4264">
      <w:pPr>
        <w:rPr>
          <w:lang w:val="fr-CA"/>
        </w:rPr>
      </w:pPr>
      <w:r>
        <w:rPr>
          <w:lang w:val="fr-CA"/>
        </w:rPr>
        <w:t>Par ailleurs</w:t>
      </w:r>
      <w:r w:rsidR="00CB1D71" w:rsidRPr="00EE0AEA">
        <w:rPr>
          <w:lang w:val="fr-CA"/>
        </w:rPr>
        <w:t xml:space="preserve">, </w:t>
      </w:r>
      <w:r>
        <w:rPr>
          <w:lang w:val="fr-CA"/>
        </w:rPr>
        <w:t>à cause des multiples changements à l’échéancier de livraison des résultats</w:t>
      </w:r>
      <w:r w:rsidR="00CB1D71" w:rsidRPr="00EE0AEA">
        <w:rPr>
          <w:lang w:val="fr-CA"/>
        </w:rPr>
        <w:t xml:space="preserve">, </w:t>
      </w:r>
      <w:r>
        <w:rPr>
          <w:lang w:val="fr-CA"/>
        </w:rPr>
        <w:t xml:space="preserve">les organismes </w:t>
      </w:r>
      <w:r w:rsidR="007E0B22">
        <w:rPr>
          <w:lang w:val="fr-CA"/>
        </w:rPr>
        <w:t>qui s’étaient vu promettre un délai de</w:t>
      </w:r>
      <w:r>
        <w:rPr>
          <w:lang w:val="fr-CA"/>
        </w:rPr>
        <w:t xml:space="preserve"> 12 mois pour trouver d’autres avenues de financement si leur demande était rejetée n’</w:t>
      </w:r>
      <w:r w:rsidR="00B45B66">
        <w:rPr>
          <w:lang w:val="fr-CA"/>
        </w:rPr>
        <w:t>ont</w:t>
      </w:r>
      <w:r>
        <w:rPr>
          <w:lang w:val="fr-CA"/>
        </w:rPr>
        <w:t xml:space="preserve"> plus que six mois pour </w:t>
      </w:r>
      <w:r w:rsidR="005D5B02">
        <w:rPr>
          <w:lang w:val="fr-CA"/>
        </w:rPr>
        <w:t>le faire</w:t>
      </w:r>
      <w:r>
        <w:rPr>
          <w:lang w:val="fr-CA"/>
        </w:rPr>
        <w:t>, sans quoi ils seront forcés de fermer leurs portes</w:t>
      </w:r>
      <w:r w:rsidR="00CB1D71" w:rsidRPr="00EE0AEA">
        <w:rPr>
          <w:lang w:val="fr-CA"/>
        </w:rPr>
        <w:t xml:space="preserve">. </w:t>
      </w:r>
      <w:r>
        <w:rPr>
          <w:lang w:val="fr-CA"/>
        </w:rPr>
        <w:t>Cette situation est inacceptable</w:t>
      </w:r>
      <w:r w:rsidR="00CB1D71" w:rsidRPr="00EE0AEA">
        <w:rPr>
          <w:lang w:val="fr-CA"/>
        </w:rPr>
        <w:t>.</w:t>
      </w:r>
    </w:p>
    <w:p w14:paraId="4D4C9179" w14:textId="77777777" w:rsidR="00CB1D71" w:rsidRPr="00EE0AEA" w:rsidRDefault="00E23FA9" w:rsidP="009E4264">
      <w:pPr>
        <w:rPr>
          <w:lang w:val="fr-CA"/>
        </w:rPr>
      </w:pPr>
      <w:r>
        <w:rPr>
          <w:lang w:val="fr-CA"/>
        </w:rPr>
        <w:t xml:space="preserve">Nous sommes également préoccupés par le fait que les projets approuvés pour la prochaine étape du processus de demande de financement ne reflètent pas les priorités de l’ASPC identifiées lors des consultations </w:t>
      </w:r>
      <w:r w:rsidR="00B45B66">
        <w:rPr>
          <w:lang w:val="fr-CA"/>
        </w:rPr>
        <w:t>antérieures</w:t>
      </w:r>
      <w:r w:rsidR="00CB1D71" w:rsidRPr="00EE0AEA">
        <w:rPr>
          <w:lang w:val="fr-CA"/>
        </w:rPr>
        <w:t xml:space="preserve">. </w:t>
      </w:r>
      <w:r>
        <w:rPr>
          <w:lang w:val="fr-CA"/>
        </w:rPr>
        <w:t xml:space="preserve">Nous observons un manque de transparence </w:t>
      </w:r>
      <w:r w:rsidR="00B45B66">
        <w:rPr>
          <w:lang w:val="fr-CA"/>
        </w:rPr>
        <w:t>quant au dévoilement des</w:t>
      </w:r>
      <w:r>
        <w:rPr>
          <w:lang w:val="fr-CA"/>
        </w:rPr>
        <w:t xml:space="preserve"> projets qui seront financés</w:t>
      </w:r>
      <w:r w:rsidR="00BB57FD" w:rsidRPr="00EE0AEA">
        <w:rPr>
          <w:lang w:val="fr-CA"/>
        </w:rPr>
        <w:t xml:space="preserve">, </w:t>
      </w:r>
      <w:r>
        <w:rPr>
          <w:lang w:val="fr-CA"/>
        </w:rPr>
        <w:t xml:space="preserve">des populations qu’ils desservent et des sommes allouées </w:t>
      </w:r>
      <w:r w:rsidR="00BF4DC1">
        <w:rPr>
          <w:lang w:val="fr-CA"/>
        </w:rPr>
        <w:t>à</w:t>
      </w:r>
      <w:r>
        <w:rPr>
          <w:lang w:val="fr-CA"/>
        </w:rPr>
        <w:t xml:space="preserve"> chaque région du pays</w:t>
      </w:r>
      <w:r w:rsidR="00BB57FD" w:rsidRPr="00EE0AEA">
        <w:rPr>
          <w:lang w:val="fr-CA"/>
        </w:rPr>
        <w:t xml:space="preserve">. </w:t>
      </w:r>
      <w:r>
        <w:rPr>
          <w:lang w:val="fr-CA"/>
        </w:rPr>
        <w:t xml:space="preserve">Le manque de financement </w:t>
      </w:r>
      <w:r w:rsidR="00700EAB">
        <w:rPr>
          <w:lang w:val="fr-CA"/>
        </w:rPr>
        <w:t>pour</w:t>
      </w:r>
      <w:r>
        <w:rPr>
          <w:lang w:val="fr-CA"/>
        </w:rPr>
        <w:t xml:space="preserve"> certaines</w:t>
      </w:r>
      <w:r w:rsidR="00CB1D71" w:rsidRPr="00EE0AEA">
        <w:rPr>
          <w:lang w:val="fr-CA"/>
        </w:rPr>
        <w:t xml:space="preserve"> </w:t>
      </w:r>
      <w:r w:rsidR="00CB1D71" w:rsidRPr="00EE0AEA">
        <w:rPr>
          <w:lang w:val="fr-CA"/>
        </w:rPr>
        <w:lastRenderedPageBreak/>
        <w:t>populations</w:t>
      </w:r>
      <w:r w:rsidR="000E7954" w:rsidRPr="00EE0AEA">
        <w:rPr>
          <w:lang w:val="fr-CA"/>
        </w:rPr>
        <w:t xml:space="preserve"> </w:t>
      </w:r>
      <w:r w:rsidR="00700EAB">
        <w:rPr>
          <w:lang w:val="fr-CA"/>
        </w:rPr>
        <w:t xml:space="preserve">– </w:t>
      </w:r>
      <w:r>
        <w:rPr>
          <w:lang w:val="fr-CA"/>
        </w:rPr>
        <w:t>en particulier les personnes autochtones et les</w:t>
      </w:r>
      <w:r w:rsidR="000E7954" w:rsidRPr="00EE0AEA">
        <w:rPr>
          <w:lang w:val="fr-CA"/>
        </w:rPr>
        <w:t xml:space="preserve"> </w:t>
      </w:r>
      <w:r>
        <w:rPr>
          <w:lang w:val="fr-CA"/>
        </w:rPr>
        <w:t>personnes qui s’injectent des drogues</w:t>
      </w:r>
      <w:r w:rsidR="00700EAB">
        <w:rPr>
          <w:lang w:val="fr-CA"/>
        </w:rPr>
        <w:t xml:space="preserve"> –</w:t>
      </w:r>
      <w:r w:rsidR="00CB1D71" w:rsidRPr="00EE0AEA">
        <w:rPr>
          <w:lang w:val="fr-CA"/>
        </w:rPr>
        <w:t xml:space="preserve"> </w:t>
      </w:r>
      <w:r>
        <w:rPr>
          <w:lang w:val="fr-CA"/>
        </w:rPr>
        <w:t>est si évident</w:t>
      </w:r>
      <w:r w:rsidR="00BF4DC1">
        <w:rPr>
          <w:lang w:val="fr-CA"/>
        </w:rPr>
        <w:t>,</w:t>
      </w:r>
      <w:r>
        <w:rPr>
          <w:lang w:val="fr-CA"/>
        </w:rPr>
        <w:t xml:space="preserve"> à ce stade de la planification</w:t>
      </w:r>
      <w:r w:rsidR="00BF4DC1">
        <w:rPr>
          <w:lang w:val="fr-CA"/>
        </w:rPr>
        <w:t>,</w:t>
      </w:r>
      <w:r>
        <w:rPr>
          <w:lang w:val="fr-CA"/>
        </w:rPr>
        <w:t xml:space="preserve"> que nous pouvons déjà prévoir que le fossé continuera de </w:t>
      </w:r>
      <w:r w:rsidR="00700EAB">
        <w:rPr>
          <w:lang w:val="fr-CA"/>
        </w:rPr>
        <w:t>s’élargir</w:t>
      </w:r>
      <w:r>
        <w:rPr>
          <w:lang w:val="fr-CA"/>
        </w:rPr>
        <w:t xml:space="preserve"> pendant que les organismes tente</w:t>
      </w:r>
      <w:r w:rsidR="00700EAB">
        <w:rPr>
          <w:lang w:val="fr-CA"/>
        </w:rPr>
        <w:t>ro</w:t>
      </w:r>
      <w:r>
        <w:rPr>
          <w:lang w:val="fr-CA"/>
        </w:rPr>
        <w:t>nt de combler les lacunes du paysage gravement érodé des services liés au VIH et à l’hépatite C</w:t>
      </w:r>
      <w:r w:rsidR="00CB1D71" w:rsidRPr="00EE0AEA">
        <w:rPr>
          <w:lang w:val="fr-CA"/>
        </w:rPr>
        <w:t xml:space="preserve">. </w:t>
      </w:r>
      <w:r>
        <w:rPr>
          <w:lang w:val="fr-CA"/>
        </w:rPr>
        <w:t>Malheureusement</w:t>
      </w:r>
      <w:r w:rsidR="00CB1D71" w:rsidRPr="00EE0AEA">
        <w:rPr>
          <w:lang w:val="fr-CA"/>
        </w:rPr>
        <w:t xml:space="preserve">, </w:t>
      </w:r>
      <w:r>
        <w:rPr>
          <w:lang w:val="fr-CA"/>
        </w:rPr>
        <w:t xml:space="preserve">l’attente de l’ASPC selon laquelle les fonds d’urgence en réserve suffiront à combler ces lacunes est </w:t>
      </w:r>
      <w:r w:rsidR="00515F9E">
        <w:rPr>
          <w:lang w:val="fr-CA"/>
        </w:rPr>
        <w:t xml:space="preserve">irréaliste, compte tenu des résultats </w:t>
      </w:r>
      <w:r w:rsidR="0093057B">
        <w:rPr>
          <w:lang w:val="fr-CA"/>
        </w:rPr>
        <w:t>observés</w:t>
      </w:r>
      <w:r w:rsidR="00515F9E">
        <w:rPr>
          <w:lang w:val="fr-CA"/>
        </w:rPr>
        <w:t xml:space="preserve"> à ce jour</w:t>
      </w:r>
      <w:r w:rsidR="00CB1D71" w:rsidRPr="00EE0AEA">
        <w:rPr>
          <w:lang w:val="fr-CA"/>
        </w:rPr>
        <w:t xml:space="preserve">. </w:t>
      </w:r>
    </w:p>
    <w:p w14:paraId="0D75B876" w14:textId="77777777" w:rsidR="00CB1D71" w:rsidRPr="00EE0AEA" w:rsidRDefault="00515F9E" w:rsidP="009E4264">
      <w:pPr>
        <w:rPr>
          <w:lang w:val="fr-CA"/>
        </w:rPr>
      </w:pPr>
      <w:r>
        <w:rPr>
          <w:lang w:val="fr-CA"/>
        </w:rPr>
        <w:t>L</w:t>
      </w:r>
      <w:r w:rsidR="00F772AA">
        <w:rPr>
          <w:lang w:val="fr-CA"/>
        </w:rPr>
        <w:t xml:space="preserve">a réponse à la question de savoir comment les personnes vivant avec le VIH et l’hépatite C et affectées par ceux-ci </w:t>
      </w:r>
      <w:r w:rsidR="006866B8">
        <w:rPr>
          <w:lang w:val="fr-CA"/>
        </w:rPr>
        <w:t>auront accès aux</w:t>
      </w:r>
      <w:r w:rsidR="00F772AA">
        <w:rPr>
          <w:lang w:val="fr-CA"/>
        </w:rPr>
        <w:t xml:space="preserve"> services dont elles ont besoin, dans un contexte où plusieurs des organismes qui fournissent ces services ont vu leur financement coupé</w:t>
      </w:r>
      <w:r w:rsidR="00CB1D71" w:rsidRPr="00EE0AEA">
        <w:rPr>
          <w:lang w:val="fr-CA"/>
        </w:rPr>
        <w:t xml:space="preserve">, </w:t>
      </w:r>
      <w:r w:rsidR="00F772AA">
        <w:rPr>
          <w:lang w:val="fr-CA"/>
        </w:rPr>
        <w:t>prend généralement l’une ou l’autre de ces</w:t>
      </w:r>
      <w:r w:rsidR="006866B8">
        <w:rPr>
          <w:lang w:val="fr-CA"/>
        </w:rPr>
        <w:t xml:space="preserve"> deux</w:t>
      </w:r>
      <w:r w:rsidR="00F772AA">
        <w:rPr>
          <w:lang w:val="fr-CA"/>
        </w:rPr>
        <w:t xml:space="preserve"> directions troublantes </w:t>
      </w:r>
      <w:r w:rsidR="00CB1D71" w:rsidRPr="00EE0AEA">
        <w:rPr>
          <w:lang w:val="fr-CA"/>
        </w:rPr>
        <w:t xml:space="preserve">: </w:t>
      </w:r>
      <w:r w:rsidR="00F772AA">
        <w:rPr>
          <w:lang w:val="fr-CA"/>
        </w:rPr>
        <w:t>les organismes devraient combiner leurs efforts et partager le financement qui leur a été alloué,</w:t>
      </w:r>
      <w:r w:rsidR="00CB1D71" w:rsidRPr="00EE0AEA">
        <w:rPr>
          <w:lang w:val="fr-CA"/>
        </w:rPr>
        <w:t xml:space="preserve"> </w:t>
      </w:r>
      <w:r w:rsidR="00F772AA">
        <w:rPr>
          <w:lang w:val="fr-CA"/>
        </w:rPr>
        <w:t>ou alors les provinces et territoires devraient financer ces programmes en tandem avec les projets fédéraux.</w:t>
      </w:r>
      <w:r w:rsidR="00CB1D71" w:rsidRPr="00EE0AEA">
        <w:rPr>
          <w:lang w:val="fr-CA"/>
        </w:rPr>
        <w:t xml:space="preserve"> </w:t>
      </w:r>
    </w:p>
    <w:p w14:paraId="783230C0" w14:textId="77777777" w:rsidR="00CB1D71" w:rsidRPr="00EE0AEA" w:rsidRDefault="00F772AA" w:rsidP="009E4264">
      <w:pPr>
        <w:rPr>
          <w:lang w:val="fr-CA"/>
        </w:rPr>
      </w:pPr>
      <w:r>
        <w:rPr>
          <w:lang w:val="fr-CA"/>
        </w:rPr>
        <w:t xml:space="preserve">En général, l’idée selon laquelle les organismes dont les demandes n’ont pas été retenues devraient collaborer avec ceux qui ont été approuvés implique que, pour que </w:t>
      </w:r>
      <w:r w:rsidR="006866B8">
        <w:rPr>
          <w:lang w:val="fr-CA"/>
        </w:rPr>
        <w:t>continue</w:t>
      </w:r>
      <w:r>
        <w:rPr>
          <w:lang w:val="fr-CA"/>
        </w:rPr>
        <w:t xml:space="preserve"> l’important travail réalisé par les organismes qui n’ont pas reçu de nouveaux fonds</w:t>
      </w:r>
      <w:r w:rsidR="00D74798" w:rsidRPr="00EE0AEA">
        <w:rPr>
          <w:lang w:val="fr-CA"/>
        </w:rPr>
        <w:t>,</w:t>
      </w:r>
      <w:r w:rsidR="00CB1D71" w:rsidRPr="00EE0AEA">
        <w:rPr>
          <w:lang w:val="fr-CA"/>
        </w:rPr>
        <w:t xml:space="preserve"> </w:t>
      </w:r>
      <w:r>
        <w:rPr>
          <w:lang w:val="fr-CA"/>
        </w:rPr>
        <w:t xml:space="preserve">les fonds alloués devraient être </w:t>
      </w:r>
      <w:r w:rsidR="008B5541">
        <w:rPr>
          <w:lang w:val="fr-CA"/>
        </w:rPr>
        <w:t>partagés</w:t>
      </w:r>
      <w:r w:rsidR="00CB1D71" w:rsidRPr="00EE0AEA">
        <w:rPr>
          <w:lang w:val="fr-CA"/>
        </w:rPr>
        <w:t xml:space="preserve">. </w:t>
      </w:r>
      <w:r w:rsidR="00763463">
        <w:rPr>
          <w:lang w:val="fr-CA"/>
        </w:rPr>
        <w:t xml:space="preserve">Les organismes communautaires ont </w:t>
      </w:r>
      <w:r w:rsidR="008B5541">
        <w:rPr>
          <w:lang w:val="fr-CA"/>
        </w:rPr>
        <w:t>opéré</w:t>
      </w:r>
      <w:r w:rsidR="00763463">
        <w:rPr>
          <w:lang w:val="fr-CA"/>
        </w:rPr>
        <w:t xml:space="preserve"> plusieurs années dans un cadre de financement hostile, sous l’égide des </w:t>
      </w:r>
      <w:r w:rsidR="00133F01">
        <w:rPr>
          <w:lang w:val="fr-CA"/>
        </w:rPr>
        <w:t>c</w:t>
      </w:r>
      <w:r w:rsidR="00763463">
        <w:rPr>
          <w:lang w:val="fr-CA"/>
        </w:rPr>
        <w:t xml:space="preserve">onservateurs – un cadre lui aussi alimenté par </w:t>
      </w:r>
      <w:r w:rsidR="008B5541">
        <w:rPr>
          <w:lang w:val="fr-CA"/>
        </w:rPr>
        <w:t>un</w:t>
      </w:r>
      <w:r w:rsidR="00763463">
        <w:rPr>
          <w:lang w:val="fr-CA"/>
        </w:rPr>
        <w:t xml:space="preserve"> processus fortement compétitif</w:t>
      </w:r>
      <w:r w:rsidR="00CB1D71" w:rsidRPr="00EE0AEA">
        <w:rPr>
          <w:lang w:val="fr-CA"/>
        </w:rPr>
        <w:t xml:space="preserve">. </w:t>
      </w:r>
      <w:r w:rsidR="004C7B38">
        <w:rPr>
          <w:lang w:val="fr-CA"/>
        </w:rPr>
        <w:t>On a dressé les organismes</w:t>
      </w:r>
      <w:r w:rsidR="00763463">
        <w:rPr>
          <w:lang w:val="fr-CA"/>
        </w:rPr>
        <w:t xml:space="preserve"> les uns contre les autres</w:t>
      </w:r>
      <w:r w:rsidR="008B5541">
        <w:rPr>
          <w:lang w:val="fr-CA"/>
        </w:rPr>
        <w:t>,</w:t>
      </w:r>
      <w:r w:rsidR="00763463">
        <w:rPr>
          <w:lang w:val="fr-CA"/>
        </w:rPr>
        <w:t xml:space="preserve"> </w:t>
      </w:r>
      <w:r w:rsidR="003472B7">
        <w:rPr>
          <w:lang w:val="fr-CA"/>
        </w:rPr>
        <w:t>pour les occasions de financement et les populations cibles</w:t>
      </w:r>
      <w:r w:rsidR="00CB1D71" w:rsidRPr="00EE0AEA">
        <w:rPr>
          <w:lang w:val="fr-CA"/>
        </w:rPr>
        <w:t xml:space="preserve">, </w:t>
      </w:r>
      <w:r w:rsidR="004C7B38">
        <w:rPr>
          <w:lang w:val="fr-CA"/>
        </w:rPr>
        <w:t xml:space="preserve">et l’ASPC et d’autres agences gouvernementales leur ont conseillé de se développer des </w:t>
      </w:r>
      <w:r w:rsidR="008B5541">
        <w:rPr>
          <w:lang w:val="fr-CA"/>
        </w:rPr>
        <w:t>niches</w:t>
      </w:r>
      <w:r w:rsidR="004C7B38">
        <w:rPr>
          <w:lang w:val="fr-CA"/>
        </w:rPr>
        <w:t xml:space="preserve"> pour être considérés comme pertinents et finançables</w:t>
      </w:r>
      <w:r w:rsidR="00CB1D71" w:rsidRPr="00EE0AEA">
        <w:rPr>
          <w:lang w:val="fr-CA"/>
        </w:rPr>
        <w:t xml:space="preserve">. </w:t>
      </w:r>
      <w:r w:rsidR="004C7B38">
        <w:rPr>
          <w:lang w:val="fr-CA"/>
        </w:rPr>
        <w:t>Par surcroît, la réduction des méfaits n’a reçu aucun appui financier depuis plus d’une décennie</w:t>
      </w:r>
      <w:r w:rsidR="002D2617" w:rsidRPr="00EE0AEA">
        <w:rPr>
          <w:lang w:val="fr-CA"/>
        </w:rPr>
        <w:t xml:space="preserve">. </w:t>
      </w:r>
      <w:r w:rsidR="004C7B38" w:rsidRPr="00133F01">
        <w:rPr>
          <w:lang w:val="fr-CA"/>
        </w:rPr>
        <w:t xml:space="preserve">S’attendre à ce que les organismes </w:t>
      </w:r>
      <w:r w:rsidR="00B264AC" w:rsidRPr="00133F01">
        <w:rPr>
          <w:lang w:val="fr-CA"/>
        </w:rPr>
        <w:t xml:space="preserve">se tournent immédiatement vers </w:t>
      </w:r>
      <w:r w:rsidR="004C7B38" w:rsidRPr="00133F01">
        <w:rPr>
          <w:lang w:val="fr-CA"/>
        </w:rPr>
        <w:t xml:space="preserve">une approche collaborative </w:t>
      </w:r>
      <w:r w:rsidR="00B264AC" w:rsidRPr="00133F01">
        <w:rPr>
          <w:lang w:val="fr-CA"/>
        </w:rPr>
        <w:t xml:space="preserve">pour desservir l’ensemble de la population plutôt que </w:t>
      </w:r>
      <w:r w:rsidR="008B5541">
        <w:rPr>
          <w:lang w:val="fr-CA"/>
        </w:rPr>
        <w:t>leurs niches</w:t>
      </w:r>
      <w:r w:rsidR="00B264AC" w:rsidRPr="00133F01">
        <w:rPr>
          <w:lang w:val="fr-CA"/>
        </w:rPr>
        <w:t>,</w:t>
      </w:r>
      <w:r w:rsidR="00CB1D71" w:rsidRPr="00133F01">
        <w:rPr>
          <w:lang w:val="fr-CA"/>
        </w:rPr>
        <w:t xml:space="preserve"> </w:t>
      </w:r>
      <w:r w:rsidR="004C7B38" w:rsidRPr="00133F01">
        <w:rPr>
          <w:lang w:val="fr-CA"/>
        </w:rPr>
        <w:t xml:space="preserve">sans </w:t>
      </w:r>
      <w:r w:rsidR="00B264AC" w:rsidRPr="00133F01">
        <w:rPr>
          <w:lang w:val="fr-CA"/>
        </w:rPr>
        <w:t>information</w:t>
      </w:r>
      <w:r w:rsidR="004C7B38" w:rsidRPr="00133F01">
        <w:rPr>
          <w:lang w:val="fr-CA"/>
        </w:rPr>
        <w:t xml:space="preserve"> sur ce à quoi ces collaborations devraient ressembler, et </w:t>
      </w:r>
      <w:r w:rsidR="00B264AC" w:rsidRPr="00133F01">
        <w:rPr>
          <w:lang w:val="fr-CA"/>
        </w:rPr>
        <w:t xml:space="preserve">exiger </w:t>
      </w:r>
      <w:r w:rsidR="004C7B38" w:rsidRPr="00133F01">
        <w:rPr>
          <w:lang w:val="fr-CA"/>
        </w:rPr>
        <w:t xml:space="preserve">qu’ils y </w:t>
      </w:r>
      <w:r w:rsidR="00B264AC" w:rsidRPr="00133F01">
        <w:rPr>
          <w:lang w:val="fr-CA"/>
        </w:rPr>
        <w:t>parviennent</w:t>
      </w:r>
      <w:r w:rsidR="004C7B38" w:rsidRPr="00133F01">
        <w:rPr>
          <w:lang w:val="fr-CA"/>
        </w:rPr>
        <w:t xml:space="preserve"> en six mois</w:t>
      </w:r>
      <w:r w:rsidR="00CB1D71" w:rsidRPr="00133F01">
        <w:rPr>
          <w:lang w:val="fr-CA"/>
        </w:rPr>
        <w:t xml:space="preserve"> </w:t>
      </w:r>
      <w:r w:rsidR="00A71D1B" w:rsidRPr="00133F01">
        <w:rPr>
          <w:lang w:val="fr-CA"/>
        </w:rPr>
        <w:t xml:space="preserve">seulement </w:t>
      </w:r>
      <w:r w:rsidR="004C7B38" w:rsidRPr="00133F01">
        <w:rPr>
          <w:lang w:val="fr-CA"/>
        </w:rPr>
        <w:t xml:space="preserve">n’est </w:t>
      </w:r>
      <w:r w:rsidR="00FD7B6A">
        <w:rPr>
          <w:lang w:val="fr-CA"/>
        </w:rPr>
        <w:t xml:space="preserve">qu’un vœu </w:t>
      </w:r>
      <w:r w:rsidR="006D4579">
        <w:rPr>
          <w:lang w:val="fr-CA"/>
        </w:rPr>
        <w:t>pieux</w:t>
      </w:r>
      <w:r w:rsidR="008B5541">
        <w:rPr>
          <w:lang w:val="fr-CA"/>
        </w:rPr>
        <w:t xml:space="preserve"> de</w:t>
      </w:r>
      <w:r w:rsidR="00FD7B6A">
        <w:rPr>
          <w:lang w:val="fr-CA"/>
        </w:rPr>
        <w:t xml:space="preserve"> collaboration</w:t>
      </w:r>
      <w:r w:rsidR="00CB1D71" w:rsidRPr="00133F01">
        <w:rPr>
          <w:lang w:val="fr-CA"/>
        </w:rPr>
        <w:t>.</w:t>
      </w:r>
      <w:r w:rsidR="00CB1D71" w:rsidRPr="00EE0AEA">
        <w:rPr>
          <w:lang w:val="fr-CA"/>
        </w:rPr>
        <w:t xml:space="preserve"> </w:t>
      </w:r>
    </w:p>
    <w:p w14:paraId="38852432" w14:textId="77777777" w:rsidR="00CB1D71" w:rsidRPr="00EE0AEA" w:rsidRDefault="004C7B38" w:rsidP="009E4264">
      <w:pPr>
        <w:rPr>
          <w:lang w:val="fr-CA"/>
        </w:rPr>
      </w:pPr>
      <w:r>
        <w:rPr>
          <w:lang w:val="fr-CA"/>
        </w:rPr>
        <w:t xml:space="preserve">L’ASPC demande aux organismes dont le financement a été réduit, mais qui sont approuvés pour la prochaine étape, de partager </w:t>
      </w:r>
      <w:r w:rsidR="005D5B02">
        <w:rPr>
          <w:lang w:val="fr-CA"/>
        </w:rPr>
        <w:t xml:space="preserve">avec d’autres organismes </w:t>
      </w:r>
      <w:r>
        <w:rPr>
          <w:lang w:val="fr-CA"/>
        </w:rPr>
        <w:t xml:space="preserve">leur financement </w:t>
      </w:r>
      <w:r w:rsidR="009B3576">
        <w:rPr>
          <w:lang w:val="fr-CA"/>
        </w:rPr>
        <w:t>amputé</w:t>
      </w:r>
      <w:r>
        <w:rPr>
          <w:lang w:val="fr-CA"/>
        </w:rPr>
        <w:t xml:space="preserve"> afin que les services ne soient pas coupés</w:t>
      </w:r>
      <w:r w:rsidR="00CB1D71" w:rsidRPr="00EE0AEA">
        <w:rPr>
          <w:lang w:val="fr-CA"/>
        </w:rPr>
        <w:t xml:space="preserve">. </w:t>
      </w:r>
      <w:r>
        <w:rPr>
          <w:lang w:val="fr-CA"/>
        </w:rPr>
        <w:t xml:space="preserve">Il est malavisé de croire que les services à la communauté ne seront pas affectés si deux organismes </w:t>
      </w:r>
      <w:r w:rsidR="005D5B02">
        <w:rPr>
          <w:lang w:val="fr-CA"/>
        </w:rPr>
        <w:t>doivent</w:t>
      </w:r>
      <w:r>
        <w:rPr>
          <w:lang w:val="fr-CA"/>
        </w:rPr>
        <w:t xml:space="preserve"> partager une seule source de financement</w:t>
      </w:r>
      <w:r w:rsidR="00CB1D71" w:rsidRPr="00EE0AEA">
        <w:rPr>
          <w:lang w:val="fr-CA"/>
        </w:rPr>
        <w:t>.</w:t>
      </w:r>
    </w:p>
    <w:p w14:paraId="66CA621C" w14:textId="77777777" w:rsidR="00CB1D71" w:rsidRPr="00EE0AEA" w:rsidRDefault="0059341D" w:rsidP="009E4264">
      <w:pPr>
        <w:rPr>
          <w:lang w:val="fr-CA"/>
        </w:rPr>
      </w:pPr>
      <w:r>
        <w:rPr>
          <w:lang w:val="fr-CA"/>
        </w:rPr>
        <w:t>En outre</w:t>
      </w:r>
      <w:r w:rsidR="004C0DED">
        <w:rPr>
          <w:lang w:val="fr-CA"/>
        </w:rPr>
        <w:t xml:space="preserve">, plusieurs organismes dont les demandes de financement ont été approuvées ont soumis </w:t>
      </w:r>
      <w:r>
        <w:rPr>
          <w:lang w:val="fr-CA"/>
        </w:rPr>
        <w:t>celles-ci</w:t>
      </w:r>
      <w:r w:rsidR="004C0DED">
        <w:rPr>
          <w:lang w:val="fr-CA"/>
        </w:rPr>
        <w:t xml:space="preserve"> en croyant que les projets complémentaires allaient suivre le même parcours</w:t>
      </w:r>
      <w:r w:rsidR="00CB1D71" w:rsidRPr="00EE0AEA">
        <w:rPr>
          <w:lang w:val="fr-CA"/>
        </w:rPr>
        <w:t xml:space="preserve">. </w:t>
      </w:r>
      <w:r w:rsidR="005D5B02">
        <w:rPr>
          <w:lang w:val="fr-CA"/>
        </w:rPr>
        <w:t>Or</w:t>
      </w:r>
      <w:r w:rsidR="001A4695">
        <w:rPr>
          <w:lang w:val="fr-CA"/>
        </w:rPr>
        <w:t>,</w:t>
      </w:r>
      <w:r w:rsidR="005D5B02">
        <w:rPr>
          <w:lang w:val="fr-CA"/>
        </w:rPr>
        <w:t xml:space="preserve"> s</w:t>
      </w:r>
      <w:r w:rsidR="004C0DED">
        <w:rPr>
          <w:lang w:val="fr-CA"/>
        </w:rPr>
        <w:t>i un projet ap</w:t>
      </w:r>
      <w:r w:rsidR="00133F01">
        <w:rPr>
          <w:lang w:val="fr-CA"/>
        </w:rPr>
        <w:t>pr</w:t>
      </w:r>
      <w:r w:rsidR="004C0DED">
        <w:rPr>
          <w:lang w:val="fr-CA"/>
        </w:rPr>
        <w:t xml:space="preserve">ouvé dépend d’un organisme </w:t>
      </w:r>
      <w:r>
        <w:rPr>
          <w:lang w:val="fr-CA"/>
        </w:rPr>
        <w:t>qui n’est plus financé</w:t>
      </w:r>
      <w:r w:rsidR="004C0DED">
        <w:rPr>
          <w:lang w:val="fr-CA"/>
        </w:rPr>
        <w:t xml:space="preserve"> pour servir l’ensemble de la population, comment peut-on s’attendre à </w:t>
      </w:r>
      <w:r>
        <w:rPr>
          <w:lang w:val="fr-CA"/>
        </w:rPr>
        <w:t>ce que ce</w:t>
      </w:r>
      <w:r w:rsidR="004C0DED">
        <w:rPr>
          <w:lang w:val="fr-CA"/>
        </w:rPr>
        <w:t xml:space="preserve"> mandat</w:t>
      </w:r>
      <w:r>
        <w:rPr>
          <w:lang w:val="fr-CA"/>
        </w:rPr>
        <w:t xml:space="preserve"> soit rempli</w:t>
      </w:r>
      <w:r w:rsidR="00CB1D71" w:rsidRPr="00EE0AEA">
        <w:rPr>
          <w:lang w:val="fr-CA"/>
        </w:rPr>
        <w:t xml:space="preserve">? </w:t>
      </w:r>
      <w:r w:rsidR="004C0DED">
        <w:rPr>
          <w:lang w:val="fr-CA"/>
        </w:rPr>
        <w:t xml:space="preserve">Les seules possibilités sont soit que </w:t>
      </w:r>
      <w:r w:rsidR="00D57BAD">
        <w:rPr>
          <w:lang w:val="fr-CA"/>
        </w:rPr>
        <w:t xml:space="preserve">les </w:t>
      </w:r>
      <w:r w:rsidR="004C0DED">
        <w:rPr>
          <w:lang w:val="fr-CA"/>
        </w:rPr>
        <w:t xml:space="preserve">deux organismes partagent les fonds alloués pour couvrir les populations complémentaires et offrir un programme sous-optimal qui ne répond pas </w:t>
      </w:r>
      <w:r w:rsidR="00D57BAD">
        <w:rPr>
          <w:lang w:val="fr-CA"/>
        </w:rPr>
        <w:t>entièrement</w:t>
      </w:r>
      <w:r w:rsidR="004C0DED">
        <w:rPr>
          <w:lang w:val="fr-CA"/>
        </w:rPr>
        <w:t xml:space="preserve"> aux besoins d’un groupe ni de l’autre, soit que les projets complémentaires</w:t>
      </w:r>
      <w:r w:rsidR="00D57BAD">
        <w:rPr>
          <w:lang w:val="fr-CA"/>
        </w:rPr>
        <w:t xml:space="preserve"> sont abandonnés</w:t>
      </w:r>
      <w:r w:rsidR="00CB1D71" w:rsidRPr="00EE0AEA">
        <w:rPr>
          <w:lang w:val="fr-CA"/>
        </w:rPr>
        <w:t>.</w:t>
      </w:r>
    </w:p>
    <w:p w14:paraId="7D22C51A" w14:textId="77777777" w:rsidR="00FE0C5F" w:rsidRDefault="00FE0C5F" w:rsidP="009E4264">
      <w:pPr>
        <w:rPr>
          <w:lang w:val="fr-CA"/>
        </w:rPr>
      </w:pPr>
      <w:r>
        <w:rPr>
          <w:lang w:val="fr-CA"/>
        </w:rPr>
        <w:t xml:space="preserve">En démantelant de larges pans d’un réseau qui mise sur les connexions entre ses membres afin de servir la communauté, l’ASPC prédestine toute la communauté à l’échec et elle ouvre la voie à l’érosion de tous les progrès accomplis depuis 30 ans dans les secteurs du VIH et de l’hépatite C. Ce réseau, qui s’est développé au fil de 30 années, est conçu pour répondre aux besoins des </w:t>
      </w:r>
      <w:r>
        <w:rPr>
          <w:lang w:val="fr-CA"/>
        </w:rPr>
        <w:lastRenderedPageBreak/>
        <w:t>clients actuels et futurs. L’effacement de l’expérience et de l’interconnectivité de notre réseau place dans une position de vulnérabilité les personnes qui comptent sur cette expertise. En seulement quatre années, le pourcentage de personnes séropositives au VIH qui ne sont pas au courant de leur infection a diminué de 26 % (en 2010)</w:t>
      </w:r>
      <w:r w:rsidRPr="00EE0AEA">
        <w:rPr>
          <w:rStyle w:val="EndnoteReference"/>
          <w:lang w:val="fr-CA"/>
        </w:rPr>
        <w:endnoteReference w:id="5"/>
      </w:r>
      <w:r w:rsidRPr="00EE0AEA">
        <w:rPr>
          <w:lang w:val="fr-CA"/>
        </w:rPr>
        <w:t xml:space="preserve"> </w:t>
      </w:r>
      <w:r>
        <w:rPr>
          <w:lang w:val="fr-CA"/>
        </w:rPr>
        <w:t xml:space="preserve">à </w:t>
      </w:r>
      <w:r w:rsidRPr="00EE0AEA">
        <w:rPr>
          <w:lang w:val="fr-CA"/>
        </w:rPr>
        <w:t>21</w:t>
      </w:r>
      <w:r>
        <w:rPr>
          <w:lang w:val="fr-CA"/>
        </w:rPr>
        <w:t> </w:t>
      </w:r>
      <w:r w:rsidRPr="00EE0AEA">
        <w:rPr>
          <w:lang w:val="fr-CA"/>
        </w:rPr>
        <w:t xml:space="preserve">% </w:t>
      </w:r>
      <w:r>
        <w:rPr>
          <w:lang w:val="fr-CA"/>
        </w:rPr>
        <w:t xml:space="preserve">(à la fin de </w:t>
      </w:r>
      <w:r w:rsidRPr="00EE0AEA">
        <w:rPr>
          <w:lang w:val="fr-CA"/>
        </w:rPr>
        <w:t>2014</w:t>
      </w:r>
      <w:r>
        <w:rPr>
          <w:lang w:val="fr-CA"/>
        </w:rPr>
        <w:t>),</w:t>
      </w:r>
      <w:r w:rsidRPr="00EE0AEA">
        <w:rPr>
          <w:rStyle w:val="EndnoteReference"/>
          <w:lang w:val="fr-CA"/>
        </w:rPr>
        <w:endnoteReference w:id="6"/>
      </w:r>
      <w:r w:rsidRPr="00EE0AEA">
        <w:rPr>
          <w:lang w:val="fr-CA"/>
        </w:rPr>
        <w:t xml:space="preserve"> </w:t>
      </w:r>
      <w:r>
        <w:rPr>
          <w:lang w:val="fr-CA"/>
        </w:rPr>
        <w:t>en grande partie grâce aux services de dépistage et de soutien offerts par les organismes communautaires. Or le diagnostic précoce conduit à un traitement plus précoce et évite des cas de transmission ultérieurs.</w:t>
      </w:r>
    </w:p>
    <w:p w14:paraId="39F07D18" w14:textId="77777777" w:rsidR="00FE0C5F" w:rsidRDefault="00FE0C5F" w:rsidP="009E4264">
      <w:pPr>
        <w:rPr>
          <w:lang w:val="fr-CA"/>
        </w:rPr>
      </w:pPr>
      <w:r>
        <w:rPr>
          <w:lang w:val="fr-CA"/>
        </w:rPr>
        <w:t>Étant donné que chaque nouveau diagnostic de VIH correspond à un coût de 1,3 million $</w:t>
      </w:r>
      <w:r w:rsidRPr="00EE0AEA">
        <w:rPr>
          <w:rStyle w:val="EndnoteReference"/>
          <w:lang w:val="fr-CA"/>
        </w:rPr>
        <w:endnoteReference w:id="7"/>
      </w:r>
      <w:r>
        <w:rPr>
          <w:lang w:val="fr-CA"/>
        </w:rPr>
        <w:t xml:space="preserve"> à vie, les efforts de prévention des organismes communautaires canadiens de lutte contre le VIH et l’hépatite C, qui misent les uns sur les autres afin de mieux servir la communauté, devraient constituer une priorité. En arrivant à réduire autant le pourcentage de personnes qui ne sont pas au courant de leur infection, les organismes canadiens ont amené le pays sur la bonne voie vers l’atteinte de la première des cibles 90-90-90 de l’ONUSIDA, et ont permis aux Canadiens d’économiser des millions de dollars en coûts associés aux nouvelles infections reliées aux personnes qui ne connaissent pas leur séropositivité. Cependant, si l’on ne fournit pas de soutien aux personnes vivant avec le VIH, nous ne pouvons pas espérer susciter les augmentations du nombre de personnes en traitement antirétroviral (TAR) qui sont nécessaires à l’atteinte des deux autres éléments de ces 90-90-90.</w:t>
      </w:r>
    </w:p>
    <w:p w14:paraId="59FBC4EE" w14:textId="77777777" w:rsidR="00FE0C5F" w:rsidRDefault="00FE0C5F" w:rsidP="009E4264">
      <w:pPr>
        <w:rPr>
          <w:lang w:val="fr-CA"/>
        </w:rPr>
      </w:pPr>
      <w:r>
        <w:rPr>
          <w:lang w:val="fr-CA"/>
        </w:rPr>
        <w:t>Par ailleurs, la réponse voulant que les manques d’allocation de fonds fédéraux soient couverts par les provinces et territoires démontre une incompréhension fatale de la situation du VIH et de l’hépatite C dans une grande partie du Canada. Dans plusieurs endroits au pays, les populations les plus à risque pour le VIH et le VHC sont des populations invisibles dans le paysage médical provincial. Si un médecin a le droit de refuser de traiter des personnes de ces populations, comment ces populations recevront-elles des services si le fédéral refuse également de leur offrir? S’attendre à ce que les gouvernements provinciaux et territoriaux assument des responsabilités pour lesquelles le financement venait jusqu’ici de votre gouvernement, tout en sachant qu’ils ne le feront pas, n’est ni plus ni moins qu’un détournement du blâme.</w:t>
      </w:r>
    </w:p>
    <w:p w14:paraId="2ABEB5AE" w14:textId="77777777" w:rsidR="00FE0C5F" w:rsidRDefault="00FE0C5F" w:rsidP="009E4264">
      <w:pPr>
        <w:rPr>
          <w:lang w:val="fr-CA"/>
        </w:rPr>
      </w:pPr>
      <w:r>
        <w:rPr>
          <w:lang w:val="fr-CA"/>
        </w:rPr>
        <w:t>S’attendre à ce que les provinces et territoires comblent les lacunes du financement en seulement six mois, sans leur présenter de modèle du fonctionnement de cette approche financière collaborative, indique que l’approche à cette collaboration est superficielle. Puisque l’ASPC n’a pas énoncé publiquement que les initiatives non financées sont transférées aux provinces, on ne peut s’attendre à ce que celles-ci comblent le fossé qu’a créé l’ASPC.</w:t>
      </w:r>
    </w:p>
    <w:p w14:paraId="714C982B" w14:textId="77777777" w:rsidR="00FE0C5F" w:rsidRDefault="00FE0C5F" w:rsidP="009E4264">
      <w:pPr>
        <w:rPr>
          <w:lang w:val="fr-CA"/>
        </w:rPr>
      </w:pPr>
      <w:r>
        <w:rPr>
          <w:lang w:val="fr-CA"/>
        </w:rPr>
        <w:t>Nous vous demandons de nous accueillir dès que possible pour une réunion afin de discuter du paysage complet du financement et des moyens par lesquels les lacunes du financement pourront être repérées et résolues. Nous vous demandons également de nous présenter un compte-rendu complet du financement actuel, détaillé par région et par population cible, afin que les fossés dans chaque catégorie puissent être comblés.</w:t>
      </w:r>
    </w:p>
    <w:p w14:paraId="2276A029" w14:textId="77777777" w:rsidR="00FE0C5F" w:rsidRDefault="00FE0C5F" w:rsidP="009E4264">
      <w:pPr>
        <w:rPr>
          <w:lang w:val="fr-CA"/>
        </w:rPr>
      </w:pPr>
      <w:r>
        <w:rPr>
          <w:lang w:val="fr-CA"/>
        </w:rPr>
        <w:t>Dans son entièreté, notre demande serait de suspendre le processus financier actuel et de maintenir pour une autre année le statu quo du financement</w:t>
      </w:r>
      <w:r w:rsidRPr="00677EDD">
        <w:rPr>
          <w:lang w:val="fr-CA"/>
        </w:rPr>
        <w:t xml:space="preserve"> </w:t>
      </w:r>
      <w:r>
        <w:rPr>
          <w:lang w:val="fr-CA"/>
        </w:rPr>
        <w:t xml:space="preserve">jusqu’ici en place, après le cycle en cours, pendant que le processus à venir sera réexaminé en collaboration avec les </w:t>
      </w:r>
      <w:r>
        <w:rPr>
          <w:lang w:val="fr-CA"/>
        </w:rPr>
        <w:lastRenderedPageBreak/>
        <w:t>intervenants communautaires et les personnes vivant avec le VIH et le VHC. Le processus de renouvellement devrait également inclure la prise en compte des fonds initialement promis à l’Initiative fédérale de lutte contre le VIH/sida au Canada, de sorte que le FIC puisse être augmenté afin de mieux répondre au mandat élargi confié aux demandeurs. Une fois complétée la révision, les objectifs du financement et les critères d’évaluation devraient être affichés publiquement afin que les organismes comprennent mieux à quoi s’attendre au cours du processus.</w:t>
      </w:r>
    </w:p>
    <w:p w14:paraId="3BEB0628" w14:textId="0E4B33AC" w:rsidR="00FE0C5F" w:rsidRDefault="00FE0C5F" w:rsidP="009E4264">
      <w:pPr>
        <w:rPr>
          <w:lang w:val="fr-CA"/>
        </w:rPr>
      </w:pPr>
      <w:r>
        <w:rPr>
          <w:lang w:val="fr-CA"/>
        </w:rPr>
        <w:t xml:space="preserve">Au minimum, nous demandons que l’ASPC travaille avec la communauté à déterminer les lacunes dans les allocations, </w:t>
      </w:r>
      <w:bookmarkStart w:id="0" w:name="_GoBack"/>
      <w:bookmarkEnd w:id="0"/>
      <w:r>
        <w:rPr>
          <w:lang w:val="fr-CA"/>
        </w:rPr>
        <w:t>puis se concentre sur la tâche de répondre à ces manques en augmentant la valeur du FIC à l’aide de certains des fonds promis à l’Initiative fédérale de lutte contre le VIH/sida au Canada, et en accordant aux organismes une année complète pour réduire progressivement leur activité ou pour trouver d’autres sources de financement, ou d’autres partenariats ou collaborateurs – ce qui faisait partie des promesses initiales de l’ASPC.</w:t>
      </w:r>
    </w:p>
    <w:p w14:paraId="42580E63" w14:textId="77777777" w:rsidR="00FE0C5F" w:rsidRDefault="00FE0C5F" w:rsidP="009E4264">
      <w:pPr>
        <w:rPr>
          <w:lang w:val="fr-CA"/>
        </w:rPr>
      </w:pPr>
      <w:r>
        <w:rPr>
          <w:lang w:val="fr-CA"/>
        </w:rPr>
        <w:t>En terminant, nous espérons que vous avez bien reçu notre demande de rencontre, en date du 5 octobre, car il nous tarde de discuter de ces enjeux avec vous. Nous sommes persuadés que vous comprenez la nécessité d’une réunion urgente et positive.</w:t>
      </w:r>
    </w:p>
    <w:p w14:paraId="472CCE58" w14:textId="77777777" w:rsidR="00FE0C5F" w:rsidRPr="00EE0AEA" w:rsidRDefault="00FE0C5F" w:rsidP="009E4264">
      <w:pPr>
        <w:rPr>
          <w:lang w:val="fr-CA"/>
        </w:rPr>
      </w:pPr>
    </w:p>
    <w:p w14:paraId="1CF4F2C4" w14:textId="77777777" w:rsidR="00FE0C5F" w:rsidRPr="00EE0AEA" w:rsidRDefault="00FE0C5F" w:rsidP="009E4264">
      <w:pPr>
        <w:rPr>
          <w:lang w:val="fr-CA"/>
        </w:rPr>
      </w:pPr>
      <w:r>
        <w:rPr>
          <w:lang w:val="fr-CA"/>
        </w:rPr>
        <w:t>Veuillez agréer, Madame la Ministre, l’expression de notre plus haute considération.</w:t>
      </w:r>
    </w:p>
    <w:p w14:paraId="7C121926" w14:textId="77777777" w:rsidR="00FE0C5F" w:rsidRPr="00EE0AEA" w:rsidRDefault="00FE0C5F" w:rsidP="009E4264">
      <w:pPr>
        <w:rPr>
          <w:lang w:val="fr-CA"/>
        </w:rPr>
      </w:pPr>
    </w:p>
    <w:p w14:paraId="5D5BBFBD" w14:textId="77777777" w:rsidR="00FE0C5F" w:rsidRPr="00EE0AEA" w:rsidRDefault="00FE0C5F" w:rsidP="009E4264">
      <w:pPr>
        <w:rPr>
          <w:lang w:val="fr-CA"/>
        </w:rPr>
      </w:pPr>
    </w:p>
    <w:p w14:paraId="23D79618" w14:textId="77777777" w:rsidR="00FE0C5F" w:rsidRPr="00EE0AEA" w:rsidRDefault="00FE0C5F" w:rsidP="009E4264">
      <w:pPr>
        <w:spacing w:after="0"/>
        <w:ind w:firstLine="720"/>
        <w:rPr>
          <w:lang w:val="fr-CA"/>
        </w:rPr>
      </w:pPr>
      <w:r w:rsidRPr="00EE0AEA">
        <w:rPr>
          <w:lang w:val="fr-CA"/>
        </w:rPr>
        <w:t>Gary Lacasse</w:t>
      </w:r>
      <w:r w:rsidRPr="00EE0AEA">
        <w:rPr>
          <w:lang w:val="fr-CA"/>
        </w:rPr>
        <w:tab/>
      </w:r>
      <w:r w:rsidRPr="00EE0AEA">
        <w:rPr>
          <w:lang w:val="fr-CA"/>
        </w:rPr>
        <w:tab/>
      </w:r>
      <w:r w:rsidRPr="00EE0AEA">
        <w:rPr>
          <w:lang w:val="fr-CA"/>
        </w:rPr>
        <w:tab/>
      </w:r>
      <w:r w:rsidRPr="00EE0AEA">
        <w:rPr>
          <w:lang w:val="fr-CA"/>
        </w:rPr>
        <w:tab/>
      </w:r>
      <w:r w:rsidRPr="00EE0AEA">
        <w:rPr>
          <w:lang w:val="fr-CA"/>
        </w:rPr>
        <w:tab/>
      </w:r>
      <w:r w:rsidRPr="00EE0AEA">
        <w:rPr>
          <w:lang w:val="fr-CA"/>
        </w:rPr>
        <w:tab/>
        <w:t>Greg Riehl</w:t>
      </w:r>
    </w:p>
    <w:p w14:paraId="20A5E7CB" w14:textId="77777777" w:rsidR="00FE0C5F" w:rsidRPr="009505CA" w:rsidRDefault="00FE0C5F" w:rsidP="009E4264">
      <w:pPr>
        <w:ind w:firstLine="720"/>
        <w:rPr>
          <w:lang w:val="fr-CA"/>
        </w:rPr>
      </w:pPr>
      <w:r>
        <w:rPr>
          <w:lang w:val="fr-CA"/>
        </w:rPr>
        <w:t>Directeur général</w:t>
      </w:r>
      <w:r w:rsidRPr="009505CA">
        <w:rPr>
          <w:lang w:val="fr-CA"/>
        </w:rPr>
        <w:tab/>
      </w:r>
      <w:r w:rsidRPr="009505CA">
        <w:rPr>
          <w:lang w:val="fr-CA"/>
        </w:rPr>
        <w:tab/>
      </w:r>
      <w:r w:rsidRPr="009505CA">
        <w:rPr>
          <w:lang w:val="fr-CA"/>
        </w:rPr>
        <w:tab/>
      </w:r>
      <w:r w:rsidRPr="009505CA">
        <w:rPr>
          <w:lang w:val="fr-CA"/>
        </w:rPr>
        <w:tab/>
      </w:r>
      <w:r w:rsidRPr="009505CA">
        <w:rPr>
          <w:lang w:val="fr-CA"/>
        </w:rPr>
        <w:tab/>
      </w:r>
      <w:r>
        <w:rPr>
          <w:lang w:val="fr-CA"/>
        </w:rPr>
        <w:t>Président, conseil d’administration</w:t>
      </w:r>
    </w:p>
    <w:p w14:paraId="17BA1EC1" w14:textId="77777777" w:rsidR="00FE0C5F" w:rsidRPr="009505CA" w:rsidRDefault="00FE0C5F" w:rsidP="009E4264">
      <w:pPr>
        <w:rPr>
          <w:lang w:val="fr-CA"/>
        </w:rPr>
      </w:pPr>
    </w:p>
    <w:p w14:paraId="5A3A9AF1" w14:textId="77777777" w:rsidR="00FE0C5F" w:rsidRPr="009505CA" w:rsidRDefault="00FE0C5F" w:rsidP="009E4264">
      <w:pPr>
        <w:rPr>
          <w:rFonts w:ascii="Garamond" w:hAnsi="Garamond"/>
          <w:lang w:val="fr-CA"/>
        </w:rPr>
      </w:pPr>
      <w:r>
        <w:rPr>
          <w:lang w:val="fr-CA"/>
        </w:rPr>
        <w:t xml:space="preserve">Copies conformes de la présente ont été envoyées au très honorable </w:t>
      </w:r>
      <w:r w:rsidRPr="009505CA">
        <w:rPr>
          <w:lang w:val="fr-CA"/>
        </w:rPr>
        <w:t xml:space="preserve">Justin Trudeau, </w:t>
      </w:r>
      <w:r>
        <w:rPr>
          <w:lang w:val="fr-CA"/>
        </w:rPr>
        <w:t xml:space="preserve">premier ministre du </w:t>
      </w:r>
      <w:r w:rsidRPr="009505CA">
        <w:rPr>
          <w:lang w:val="fr-CA"/>
        </w:rPr>
        <w:t xml:space="preserve">Canada; </w:t>
      </w:r>
      <w:r>
        <w:rPr>
          <w:lang w:val="fr-CA"/>
        </w:rPr>
        <w:t xml:space="preserve">à l’honorable </w:t>
      </w:r>
      <w:r w:rsidRPr="009505CA">
        <w:rPr>
          <w:lang w:val="fr-CA"/>
        </w:rPr>
        <w:t xml:space="preserve">Rona Ambrose, </w:t>
      </w:r>
      <w:r>
        <w:rPr>
          <w:lang w:val="fr-CA"/>
        </w:rPr>
        <w:t>députée</w:t>
      </w:r>
      <w:r w:rsidRPr="009505CA">
        <w:rPr>
          <w:lang w:val="fr-CA"/>
        </w:rPr>
        <w:t xml:space="preserve">, </w:t>
      </w:r>
      <w:r>
        <w:rPr>
          <w:lang w:val="fr-CA"/>
        </w:rPr>
        <w:t>cheffe</w:t>
      </w:r>
      <w:r w:rsidRPr="009505CA">
        <w:rPr>
          <w:lang w:val="fr-CA"/>
        </w:rPr>
        <w:t xml:space="preserve"> </w:t>
      </w:r>
      <w:r>
        <w:rPr>
          <w:lang w:val="fr-CA"/>
        </w:rPr>
        <w:t>par intérim du Parti conservateur</w:t>
      </w:r>
      <w:r w:rsidRPr="009505CA">
        <w:rPr>
          <w:lang w:val="fr-CA"/>
        </w:rPr>
        <w:t xml:space="preserve">; </w:t>
      </w:r>
      <w:r>
        <w:rPr>
          <w:lang w:val="fr-CA"/>
        </w:rPr>
        <w:t>à l’honorable Thomas Mulcair, député</w:t>
      </w:r>
      <w:r w:rsidRPr="009505CA">
        <w:rPr>
          <w:lang w:val="fr-CA"/>
        </w:rPr>
        <w:t xml:space="preserve">, </w:t>
      </w:r>
      <w:r>
        <w:rPr>
          <w:lang w:val="fr-CA"/>
        </w:rPr>
        <w:t>chef du Nouveau parti démocratique</w:t>
      </w:r>
      <w:r w:rsidRPr="009505CA">
        <w:rPr>
          <w:lang w:val="fr-CA"/>
        </w:rPr>
        <w:t xml:space="preserve">; </w:t>
      </w:r>
      <w:r>
        <w:rPr>
          <w:lang w:val="fr-CA"/>
        </w:rPr>
        <w:t xml:space="preserve">à </w:t>
      </w:r>
      <w:r w:rsidRPr="009505CA">
        <w:rPr>
          <w:lang w:val="fr-CA"/>
        </w:rPr>
        <w:t xml:space="preserve">Rhéal Fortin, </w:t>
      </w:r>
      <w:r>
        <w:rPr>
          <w:lang w:val="fr-CA"/>
        </w:rPr>
        <w:t>député</w:t>
      </w:r>
      <w:r w:rsidRPr="009505CA">
        <w:rPr>
          <w:lang w:val="fr-CA"/>
        </w:rPr>
        <w:t xml:space="preserve">, </w:t>
      </w:r>
      <w:r>
        <w:rPr>
          <w:lang w:val="fr-CA"/>
        </w:rPr>
        <w:t xml:space="preserve">chef par intérim du </w:t>
      </w:r>
      <w:r w:rsidRPr="009505CA">
        <w:rPr>
          <w:lang w:val="fr-CA"/>
        </w:rPr>
        <w:t xml:space="preserve">Bloc </w:t>
      </w:r>
      <w:r>
        <w:rPr>
          <w:lang w:val="fr-CA"/>
        </w:rPr>
        <w:t>q</w:t>
      </w:r>
      <w:r w:rsidRPr="009505CA">
        <w:rPr>
          <w:lang w:val="fr-CA"/>
        </w:rPr>
        <w:t xml:space="preserve">uébécois; </w:t>
      </w:r>
      <w:r>
        <w:rPr>
          <w:lang w:val="fr-CA"/>
        </w:rPr>
        <w:t>à l’honorable K. Kellie Leitch, députée</w:t>
      </w:r>
      <w:r w:rsidRPr="009505CA">
        <w:rPr>
          <w:lang w:val="fr-CA"/>
        </w:rPr>
        <w:t xml:space="preserve">, </w:t>
      </w:r>
      <w:r>
        <w:rPr>
          <w:lang w:val="fr-CA"/>
        </w:rPr>
        <w:t xml:space="preserve">porte-parole du Parti conservateur en matière de santé; à la </w:t>
      </w:r>
      <w:r w:rsidRPr="009505CA">
        <w:rPr>
          <w:lang w:val="fr-CA"/>
        </w:rPr>
        <w:t>D</w:t>
      </w:r>
      <w:r>
        <w:rPr>
          <w:vertAlign w:val="superscript"/>
          <w:lang w:val="fr-CA"/>
        </w:rPr>
        <w:t>re</w:t>
      </w:r>
      <w:r>
        <w:rPr>
          <w:lang w:val="fr-CA"/>
        </w:rPr>
        <w:t> </w:t>
      </w:r>
      <w:r w:rsidRPr="009505CA">
        <w:rPr>
          <w:lang w:val="fr-CA"/>
        </w:rPr>
        <w:t xml:space="preserve">Siddika Mithani, </w:t>
      </w:r>
      <w:r>
        <w:rPr>
          <w:lang w:val="fr-CA"/>
        </w:rPr>
        <w:t xml:space="preserve">présidente de l’Agence de la santé publique du </w:t>
      </w:r>
      <w:r w:rsidRPr="009505CA">
        <w:rPr>
          <w:lang w:val="fr-CA"/>
        </w:rPr>
        <w:t xml:space="preserve">Canada; </w:t>
      </w:r>
      <w:r>
        <w:rPr>
          <w:lang w:val="fr-CA"/>
        </w:rPr>
        <w:t>et à tous les organismes de lutte contre le VIH/sida au Canada</w:t>
      </w:r>
      <w:r w:rsidRPr="009505CA">
        <w:rPr>
          <w:lang w:val="fr-CA"/>
        </w:rPr>
        <w:t>.</w:t>
      </w:r>
    </w:p>
    <w:p w14:paraId="1556FEAC" w14:textId="77777777" w:rsidR="00EE0AEA" w:rsidRPr="00EE0AEA" w:rsidRDefault="00EE0AEA" w:rsidP="009E4264">
      <w:pPr>
        <w:rPr>
          <w:rFonts w:ascii="Garamond" w:hAnsi="Garamond"/>
          <w:lang w:val="fr-CA"/>
        </w:rPr>
      </w:pPr>
    </w:p>
    <w:sectPr w:rsidR="00EE0AEA" w:rsidRPr="00EE0AEA" w:rsidSect="00CB1D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1B003" w14:textId="77777777" w:rsidR="002C6D76" w:rsidRDefault="002C6D76">
      <w:r>
        <w:separator/>
      </w:r>
    </w:p>
  </w:endnote>
  <w:endnote w:type="continuationSeparator" w:id="0">
    <w:p w14:paraId="677B04C5" w14:textId="77777777" w:rsidR="002C6D76" w:rsidRDefault="002C6D76">
      <w:r>
        <w:continuationSeparator/>
      </w:r>
    </w:p>
  </w:endnote>
  <w:endnote w:id="1">
    <w:p w14:paraId="28DC9C7B" w14:textId="77777777" w:rsidR="005B75B3" w:rsidRPr="00017656" w:rsidRDefault="005B75B3">
      <w:pPr>
        <w:pStyle w:val="EndnoteText"/>
        <w:rPr>
          <w:lang w:val="fr-CA"/>
        </w:rPr>
      </w:pPr>
      <w:r w:rsidRPr="00017656">
        <w:rPr>
          <w:rStyle w:val="EndnoteReference"/>
          <w:lang w:val="fr-CA"/>
        </w:rPr>
        <w:endnoteRef/>
      </w:r>
      <w:r w:rsidRPr="00017656">
        <w:rPr>
          <w:lang w:val="fr-CA"/>
        </w:rPr>
        <w:t xml:space="preserve"> Agence de la santé publique du Canada. (2015) Résumé : Estimations de l'incidence de la prévalence, et de la proportion non diagnostiquée au VIH au Canada, 2014. Consulté à </w:t>
      </w:r>
      <w:hyperlink r:id="rId1" w:anchor="a2" w:history="1">
        <w:r w:rsidRPr="00017656">
          <w:rPr>
            <w:rStyle w:val="Hyperlink"/>
            <w:lang w:val="fr-CA"/>
          </w:rPr>
          <w:t>http://canadiensensante.gc.ca/publications/diseases-conditions-maladies-affections/hiv-aids-estimates-2014-vih-sida-estimations/index-fra.php?_ga=1.221978392.187377213.1476382010#a2</w:t>
        </w:r>
      </w:hyperlink>
      <w:r w:rsidRPr="00017656">
        <w:rPr>
          <w:lang w:val="fr-CA"/>
        </w:rPr>
        <w:t xml:space="preserve"> </w:t>
      </w:r>
    </w:p>
  </w:endnote>
  <w:endnote w:id="2">
    <w:p w14:paraId="326BEBAF" w14:textId="77777777" w:rsidR="005B75B3" w:rsidRPr="00017656" w:rsidRDefault="005B75B3" w:rsidP="002D1069">
      <w:pPr>
        <w:pStyle w:val="EndnoteText"/>
        <w:rPr>
          <w:lang w:val="fr-CA"/>
        </w:rPr>
      </w:pPr>
      <w:r w:rsidRPr="00017656">
        <w:rPr>
          <w:rStyle w:val="EndnoteReference"/>
          <w:lang w:val="fr-CA"/>
        </w:rPr>
        <w:endnoteRef/>
      </w:r>
      <w:r w:rsidRPr="00017656">
        <w:rPr>
          <w:lang w:val="fr-CA"/>
        </w:rPr>
        <w:t xml:space="preserve"> Programme commun des Nations Unies sur le VIH/sida. (2014). 90-90-90 : Une cible ambitieuse de traitement pour aider à mettre fin à l’épidémie du sida. Genève : ONUSIDA.</w:t>
      </w:r>
      <w:r w:rsidRPr="00017656">
        <w:rPr>
          <w:lang w:val="fr-CA"/>
        </w:rPr>
        <w:tab/>
      </w:r>
    </w:p>
  </w:endnote>
  <w:endnote w:id="3">
    <w:p w14:paraId="713D599C" w14:textId="77777777" w:rsidR="005B75B3" w:rsidRPr="00017656" w:rsidRDefault="005B75B3" w:rsidP="00CB1D71">
      <w:pPr>
        <w:pStyle w:val="EndnoteText"/>
        <w:rPr>
          <w:lang w:val="fr-CA"/>
        </w:rPr>
      </w:pPr>
      <w:r w:rsidRPr="00017656">
        <w:rPr>
          <w:rStyle w:val="EndnoteReference"/>
          <w:lang w:val="fr-CA"/>
        </w:rPr>
        <w:endnoteRef/>
      </w:r>
      <w:r w:rsidRPr="00017656">
        <w:rPr>
          <w:lang w:val="fr-CA"/>
        </w:rPr>
        <w:t xml:space="preserve"> Agence de la santé publique du Canada, Philpott, J. (2015). </w:t>
      </w:r>
      <w:r w:rsidRPr="00017656">
        <w:rPr>
          <w:i/>
          <w:lang w:val="fr-CA"/>
        </w:rPr>
        <w:t xml:space="preserve">Journée mondiale du sida </w:t>
      </w:r>
      <w:r>
        <w:rPr>
          <w:i/>
          <w:lang w:val="fr-CA"/>
        </w:rPr>
        <w:t>–</w:t>
      </w:r>
      <w:r w:rsidRPr="00017656">
        <w:rPr>
          <w:i/>
          <w:lang w:val="fr-CA"/>
        </w:rPr>
        <w:t xml:space="preserve"> 1</w:t>
      </w:r>
      <w:r w:rsidRPr="00017656">
        <w:rPr>
          <w:i/>
          <w:vertAlign w:val="superscript"/>
          <w:lang w:val="fr-CA"/>
        </w:rPr>
        <w:t>er</w:t>
      </w:r>
      <w:r w:rsidRPr="00017656">
        <w:rPr>
          <w:i/>
          <w:lang w:val="fr-CA"/>
        </w:rPr>
        <w:t xml:space="preserve"> décembre 2015</w:t>
      </w:r>
      <w:r w:rsidRPr="00017656">
        <w:rPr>
          <w:lang w:val="fr-CA"/>
        </w:rPr>
        <w:t xml:space="preserve"> [</w:t>
      </w:r>
      <w:r>
        <w:rPr>
          <w:lang w:val="fr-CA"/>
        </w:rPr>
        <w:t>déclaration publique</w:t>
      </w:r>
      <w:r w:rsidRPr="00017656">
        <w:rPr>
          <w:lang w:val="fr-CA"/>
        </w:rPr>
        <w:t xml:space="preserve">]. Consulté à </w:t>
      </w:r>
      <w:hyperlink r:id="rId2" w:history="1">
        <w:r w:rsidRPr="00017656">
          <w:rPr>
            <w:rStyle w:val="Hyperlink"/>
            <w:lang w:val="fr-CA"/>
          </w:rPr>
          <w:t>http://nouvelles.gc.ca/web/article-fr.do?nid=1022689&amp;_ga=1.200712430.1100035353.1476382135</w:t>
        </w:r>
      </w:hyperlink>
      <w:r w:rsidRPr="00017656">
        <w:rPr>
          <w:lang w:val="fr-CA"/>
        </w:rPr>
        <w:t xml:space="preserve">  </w:t>
      </w:r>
    </w:p>
  </w:endnote>
  <w:endnote w:id="4">
    <w:p w14:paraId="59A3A8FC" w14:textId="77777777" w:rsidR="005B75B3" w:rsidRPr="00017656" w:rsidRDefault="005B75B3">
      <w:pPr>
        <w:pStyle w:val="EndnoteText"/>
        <w:rPr>
          <w:lang w:val="fr-CA"/>
        </w:rPr>
      </w:pPr>
      <w:r w:rsidRPr="00017656">
        <w:rPr>
          <w:rStyle w:val="EndnoteReference"/>
          <w:lang w:val="fr-CA"/>
        </w:rPr>
        <w:endnoteRef/>
      </w:r>
      <w:r w:rsidRPr="00017656">
        <w:rPr>
          <w:lang w:val="fr-CA"/>
        </w:rPr>
        <w:t xml:space="preserve"> Agence de la santé publique du Canada. </w:t>
      </w:r>
      <w:r w:rsidRPr="00371EF0">
        <w:rPr>
          <w:lang w:val="fr-CA"/>
        </w:rPr>
        <w:t>Direction de l’évaluation</w:t>
      </w:r>
      <w:r w:rsidRPr="00017656">
        <w:rPr>
          <w:lang w:val="fr-CA"/>
        </w:rPr>
        <w:t xml:space="preserve"> (2014). Évaluation du programme du santé publique du Canada offert par l’Agence de la santé publique du Canada</w:t>
      </w:r>
      <w:r>
        <w:rPr>
          <w:lang w:val="fr-CA"/>
        </w:rPr>
        <w:t> </w:t>
      </w:r>
      <w:r w:rsidRPr="00017656">
        <w:rPr>
          <w:lang w:val="fr-CA"/>
        </w:rPr>
        <w:t xml:space="preserve">: Annexe 2 </w:t>
      </w:r>
      <w:r>
        <w:rPr>
          <w:lang w:val="fr-CA"/>
        </w:rPr>
        <w:t>–</w:t>
      </w:r>
      <w:r w:rsidRPr="00017656">
        <w:rPr>
          <w:lang w:val="fr-CA"/>
        </w:rPr>
        <w:t xml:space="preserve"> Dépenses et répartition des ressources de l'Initiative fédérale de 2008-09 à 2012-13. </w:t>
      </w:r>
      <w:r>
        <w:rPr>
          <w:lang w:val="fr-CA"/>
        </w:rPr>
        <w:t>Consulté à</w:t>
      </w:r>
      <w:r w:rsidRPr="00017656">
        <w:rPr>
          <w:lang w:val="fr-CA"/>
        </w:rPr>
        <w:t xml:space="preserve"> </w:t>
      </w:r>
      <w:hyperlink r:id="rId3" w:history="1">
        <w:r w:rsidRPr="003F1FC7">
          <w:rPr>
            <w:rStyle w:val="Hyperlink"/>
            <w:lang w:val="fr-CA"/>
          </w:rPr>
          <w:t>http://www.phac-aspc.gc.ca/about_apropos/evaluation/reports-rapports/2013-2014/diaha-idlvs/app-ann-b-fra.php</w:t>
        </w:r>
      </w:hyperlink>
      <w:r>
        <w:rPr>
          <w:lang w:val="fr-CA"/>
        </w:rPr>
        <w:t xml:space="preserve"> </w:t>
      </w:r>
      <w:r w:rsidRPr="00017656">
        <w:rPr>
          <w:lang w:val="fr-CA"/>
        </w:rPr>
        <w:t xml:space="preserve"> </w:t>
      </w:r>
    </w:p>
  </w:endnote>
  <w:endnote w:id="5">
    <w:p w14:paraId="7696BA5D" w14:textId="77777777" w:rsidR="00FE0C5F" w:rsidRPr="00BD75B9" w:rsidRDefault="00FE0C5F" w:rsidP="00FE0C5F">
      <w:pPr>
        <w:pStyle w:val="EndnoteText"/>
        <w:rPr>
          <w:lang w:val="fr-CA"/>
        </w:rPr>
      </w:pPr>
      <w:r w:rsidRPr="00BD75B9">
        <w:rPr>
          <w:rStyle w:val="EndnoteReference"/>
          <w:lang w:val="fr-CA"/>
        </w:rPr>
        <w:endnoteRef/>
      </w:r>
      <w:r w:rsidRPr="00BD75B9">
        <w:rPr>
          <w:lang w:val="fr-CA"/>
        </w:rPr>
        <w:t xml:space="preserve"> Agence de la santé publique du Canada. (2010). </w:t>
      </w:r>
      <w:r>
        <w:rPr>
          <w:lang w:val="fr-CA"/>
        </w:rPr>
        <w:t xml:space="preserve">Actualités en épidémiologie du VIH/sida – Juillet </w:t>
      </w:r>
      <w:r w:rsidRPr="00BD75B9">
        <w:rPr>
          <w:lang w:val="fr-CA"/>
        </w:rPr>
        <w:t>2010</w:t>
      </w:r>
      <w:r>
        <w:rPr>
          <w:lang w:val="fr-CA"/>
        </w:rPr>
        <w:t> </w:t>
      </w:r>
      <w:r w:rsidRPr="00BD75B9">
        <w:rPr>
          <w:lang w:val="fr-CA"/>
        </w:rPr>
        <w:t xml:space="preserve">: </w:t>
      </w:r>
      <w:r>
        <w:rPr>
          <w:lang w:val="fr-CA"/>
        </w:rPr>
        <w:t xml:space="preserve">Chapitre </w:t>
      </w:r>
      <w:r w:rsidRPr="00BD75B9">
        <w:rPr>
          <w:lang w:val="fr-CA"/>
        </w:rPr>
        <w:t>2</w:t>
      </w:r>
      <w:r>
        <w:rPr>
          <w:lang w:val="fr-CA"/>
        </w:rPr>
        <w:t> </w:t>
      </w:r>
      <w:r w:rsidRPr="00BD75B9">
        <w:rPr>
          <w:lang w:val="fr-CA"/>
        </w:rPr>
        <w:t xml:space="preserve">: </w:t>
      </w:r>
      <w:r>
        <w:rPr>
          <w:lang w:val="fr-CA"/>
        </w:rPr>
        <w:t>Cas non diagnostiqués d’i</w:t>
      </w:r>
      <w:r w:rsidRPr="00BD75B9">
        <w:rPr>
          <w:lang w:val="fr-CA"/>
        </w:rPr>
        <w:t xml:space="preserve">nfections </w:t>
      </w:r>
      <w:r>
        <w:rPr>
          <w:lang w:val="fr-CA"/>
        </w:rPr>
        <w:t xml:space="preserve">à VIH au </w:t>
      </w:r>
      <w:r w:rsidRPr="00BD75B9">
        <w:rPr>
          <w:lang w:val="fr-CA"/>
        </w:rPr>
        <w:t xml:space="preserve">Canada. </w:t>
      </w:r>
      <w:r>
        <w:rPr>
          <w:lang w:val="fr-CA"/>
        </w:rPr>
        <w:t xml:space="preserve">Consulté à </w:t>
      </w:r>
      <w:hyperlink r:id="rId4" w:history="1">
        <w:r w:rsidRPr="002F7946">
          <w:rPr>
            <w:rStyle w:val="Hyperlink"/>
            <w:lang w:val="fr-CA"/>
          </w:rPr>
          <w:t>http://www.phac-aspc.gc.ca/aids-sida/publication/epi/2010/2-fra.php</w:t>
        </w:r>
      </w:hyperlink>
    </w:p>
  </w:endnote>
  <w:endnote w:id="6">
    <w:p w14:paraId="0F78746E" w14:textId="77777777" w:rsidR="00FE0C5F" w:rsidRPr="00BD75B9" w:rsidRDefault="00FE0C5F" w:rsidP="00FE0C5F">
      <w:pPr>
        <w:pStyle w:val="EndnoteText"/>
        <w:rPr>
          <w:lang w:val="fr-CA"/>
        </w:rPr>
      </w:pPr>
      <w:r w:rsidRPr="00BD75B9">
        <w:rPr>
          <w:rStyle w:val="EndnoteReference"/>
          <w:lang w:val="fr-CA"/>
        </w:rPr>
        <w:endnoteRef/>
      </w:r>
      <w:r w:rsidRPr="00BD75B9">
        <w:rPr>
          <w:lang w:val="fr-CA"/>
        </w:rPr>
        <w:t xml:space="preserve"> Agence de la santé publique du Canada. (2015) </w:t>
      </w:r>
      <w:r>
        <w:rPr>
          <w:lang w:val="fr-CA"/>
        </w:rPr>
        <w:t>Sommaire </w:t>
      </w:r>
      <w:r w:rsidRPr="00BD75B9">
        <w:rPr>
          <w:lang w:val="fr-CA"/>
        </w:rPr>
        <w:t xml:space="preserve">: </w:t>
      </w:r>
      <w:r>
        <w:rPr>
          <w:lang w:val="fr-CA"/>
        </w:rPr>
        <w:t>Estimations de l’</w:t>
      </w:r>
      <w:r w:rsidRPr="00BD75B9">
        <w:rPr>
          <w:lang w:val="fr-CA"/>
        </w:rPr>
        <w:t>incidence</w:t>
      </w:r>
      <w:r>
        <w:rPr>
          <w:lang w:val="fr-CA"/>
        </w:rPr>
        <w:t>[,] de la pré</w:t>
      </w:r>
      <w:r w:rsidRPr="00BD75B9">
        <w:rPr>
          <w:lang w:val="fr-CA"/>
        </w:rPr>
        <w:t>valence</w:t>
      </w:r>
      <w:r>
        <w:rPr>
          <w:lang w:val="fr-CA"/>
        </w:rPr>
        <w:t>, et de la proportion non diagnostiquée au VIH au</w:t>
      </w:r>
      <w:r w:rsidRPr="00BD75B9">
        <w:rPr>
          <w:lang w:val="fr-CA"/>
        </w:rPr>
        <w:t xml:space="preserve"> Canada, 2014. </w:t>
      </w:r>
      <w:r>
        <w:rPr>
          <w:lang w:val="fr-CA"/>
        </w:rPr>
        <w:t xml:space="preserve">Consulté à </w:t>
      </w:r>
      <w:hyperlink r:id="rId5" w:anchor="a2" w:history="1">
        <w:r w:rsidRPr="002F7946">
          <w:rPr>
            <w:rStyle w:val="Hyperlink"/>
            <w:lang w:val="fr-CA"/>
          </w:rPr>
          <w:t>http://canadiensensante.gc.ca/publications/diseases-conditions-maladies-affections/hiv-aids-estimates-2014-vih-sida-estimations/index-fra.php#a2</w:t>
        </w:r>
      </w:hyperlink>
      <w:r>
        <w:rPr>
          <w:lang w:val="fr-CA"/>
        </w:rPr>
        <w:t xml:space="preserve"> </w:t>
      </w:r>
    </w:p>
  </w:endnote>
  <w:endnote w:id="7">
    <w:p w14:paraId="1B175024" w14:textId="77777777" w:rsidR="00FE0C5F" w:rsidRPr="00BD75B9" w:rsidRDefault="00FE0C5F" w:rsidP="00FE0C5F">
      <w:pPr>
        <w:pStyle w:val="EndnoteText"/>
        <w:rPr>
          <w:lang w:val="fr-CA"/>
        </w:rPr>
      </w:pPr>
      <w:r w:rsidRPr="00BD75B9">
        <w:rPr>
          <w:rStyle w:val="EndnoteReference"/>
          <w:lang w:val="fr-CA"/>
        </w:rPr>
        <w:endnoteRef/>
      </w:r>
      <w:r w:rsidRPr="00BD75B9">
        <w:rPr>
          <w:lang w:val="fr-CA"/>
        </w:rPr>
        <w:t xml:space="preserve"> Kingston-Riechers, J. (2011). </w:t>
      </w:r>
      <w:r>
        <w:rPr>
          <w:i/>
          <w:iCs/>
          <w:lang w:val="fr-CA"/>
        </w:rPr>
        <w:t xml:space="preserve">Le coût économique du VIH/sida au </w:t>
      </w:r>
      <w:r w:rsidRPr="00BD75B9">
        <w:rPr>
          <w:i/>
          <w:iCs/>
          <w:lang w:val="fr-CA"/>
        </w:rPr>
        <w:t>Canada</w:t>
      </w:r>
      <w:r w:rsidRPr="00BD75B9">
        <w:rPr>
          <w:lang w:val="fr-CA"/>
        </w:rPr>
        <w:t xml:space="preserve">. </w:t>
      </w:r>
      <w:r>
        <w:rPr>
          <w:lang w:val="fr-CA"/>
        </w:rPr>
        <w:t>Société canadienne du sida</w:t>
      </w:r>
      <w:r w:rsidRPr="00BD75B9">
        <w:rPr>
          <w:lang w:val="fr-CA"/>
        </w:rPr>
        <w:t xml:space="preserve">. </w:t>
      </w:r>
      <w:r>
        <w:rPr>
          <w:lang w:val="fr-CA"/>
        </w:rPr>
        <w:t xml:space="preserve">Accessible à </w:t>
      </w:r>
      <w:hyperlink r:id="rId6" w:history="1">
        <w:r w:rsidRPr="00BD75B9">
          <w:rPr>
            <w:rStyle w:val="Hyperlink"/>
            <w:lang w:val="fr-CA"/>
          </w:rPr>
          <w:t>http://www.cdnaids.ca/the-economic-cost-of-hivaids-in-canada/</w:t>
        </w:r>
      </w:hyperlink>
      <w:r w:rsidRPr="00BD75B9">
        <w:rPr>
          <w:lang w:val="fr-C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CF56" w14:textId="77777777" w:rsidR="005B75B3" w:rsidRDefault="005B7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697429"/>
      <w:docPartObj>
        <w:docPartGallery w:val="Page Numbers (Bottom of Page)"/>
        <w:docPartUnique/>
      </w:docPartObj>
    </w:sdtPr>
    <w:sdtEndPr>
      <w:rPr>
        <w:noProof/>
      </w:rPr>
    </w:sdtEndPr>
    <w:sdtContent>
      <w:p w14:paraId="2A84AF10" w14:textId="77777777" w:rsidR="005B75B3" w:rsidRDefault="005B75B3" w:rsidP="00200D85">
        <w:pPr>
          <w:pStyle w:val="Footer"/>
          <w:jc w:val="right"/>
        </w:pPr>
        <w:r>
          <w:t xml:space="preserve"> </w:t>
        </w:r>
        <w:r>
          <w:fldChar w:fldCharType="begin"/>
        </w:r>
        <w:r>
          <w:instrText xml:space="preserve"> PAGE   \* MERGEFORMAT </w:instrText>
        </w:r>
        <w:r>
          <w:fldChar w:fldCharType="separate"/>
        </w:r>
        <w:r w:rsidR="00371EF0">
          <w:rPr>
            <w:noProof/>
          </w:rPr>
          <w:t>4</w:t>
        </w:r>
        <w:r>
          <w:rPr>
            <w:noProof/>
          </w:rPr>
          <w:fldChar w:fldCharType="end"/>
        </w:r>
      </w:p>
    </w:sdtContent>
  </w:sdt>
  <w:p w14:paraId="3F3CBCEC" w14:textId="77777777" w:rsidR="005B75B3" w:rsidRDefault="005B75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906369"/>
      <w:docPartObj>
        <w:docPartGallery w:val="Page Numbers (Bottom of Page)"/>
        <w:docPartUnique/>
      </w:docPartObj>
    </w:sdtPr>
    <w:sdtEndPr/>
    <w:sdtContent>
      <w:p w14:paraId="2407D2BF" w14:textId="77777777" w:rsidR="005B75B3" w:rsidRDefault="005B75B3">
        <w:pPr>
          <w:pStyle w:val="Footer"/>
          <w:jc w:val="right"/>
        </w:pPr>
        <w:r>
          <w:fldChar w:fldCharType="begin"/>
        </w:r>
        <w:r>
          <w:instrText xml:space="preserve"> PAGE   \* MERGEFORMAT </w:instrText>
        </w:r>
        <w:r>
          <w:fldChar w:fldCharType="separate"/>
        </w:r>
        <w:r w:rsidR="00371EF0">
          <w:rPr>
            <w:noProof/>
          </w:rPr>
          <w:t>1</w:t>
        </w:r>
        <w:r>
          <w:rPr>
            <w:noProof/>
          </w:rPr>
          <w:fldChar w:fldCharType="end"/>
        </w:r>
        <w:r>
          <w:t xml:space="preserve"> </w:t>
        </w:r>
      </w:p>
    </w:sdtContent>
  </w:sdt>
  <w:p w14:paraId="5B2C9DC3" w14:textId="77777777" w:rsidR="005B75B3" w:rsidRDefault="005B75B3" w:rsidP="00200D8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4CE45" w14:textId="77777777" w:rsidR="002C6D76" w:rsidRDefault="002C6D76">
      <w:r>
        <w:separator/>
      </w:r>
    </w:p>
  </w:footnote>
  <w:footnote w:type="continuationSeparator" w:id="0">
    <w:p w14:paraId="5D4AE423" w14:textId="77777777" w:rsidR="002C6D76" w:rsidRDefault="002C6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8185" w14:textId="77777777" w:rsidR="005B75B3" w:rsidRDefault="005B7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B0A6" w14:textId="77777777" w:rsidR="005B75B3" w:rsidRDefault="005B7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048B3" w14:textId="77777777" w:rsidR="005B75B3" w:rsidRDefault="005B75B3" w:rsidP="00CB1D71">
    <w:pPr>
      <w:pStyle w:val="Header"/>
    </w:pPr>
    <w:r>
      <w:rPr>
        <w:noProof/>
        <w:lang w:eastAsia="en-CA"/>
      </w:rPr>
      <w:drawing>
        <wp:anchor distT="0" distB="0" distL="114300" distR="114300" simplePos="0" relativeHeight="251659264" behindDoc="0" locked="0" layoutInCell="1" allowOverlap="1" wp14:anchorId="4653B65A" wp14:editId="1487628E">
          <wp:simplePos x="0" y="0"/>
          <wp:positionH relativeFrom="column">
            <wp:posOffset>2524125</wp:posOffset>
          </wp:positionH>
          <wp:positionV relativeFrom="margin">
            <wp:posOffset>-943610</wp:posOffset>
          </wp:positionV>
          <wp:extent cx="4333875" cy="960755"/>
          <wp:effectExtent l="0" t="0" r="9525" b="0"/>
          <wp:wrapNone/>
          <wp:docPr id="1" name="Picture 1" descr="letterhead - suite 100 - cor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 suite 100 - correc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8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1F60F" w14:textId="77777777" w:rsidR="005B75B3" w:rsidRDefault="005B75B3" w:rsidP="00CB1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D48BF"/>
    <w:multiLevelType w:val="hybridMultilevel"/>
    <w:tmpl w:val="3B80186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43EB8"/>
    <w:multiLevelType w:val="hybridMultilevel"/>
    <w:tmpl w:val="8D8E05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85"/>
    <w:rsid w:val="00000051"/>
    <w:rsid w:val="00007BE2"/>
    <w:rsid w:val="00017656"/>
    <w:rsid w:val="00034CBF"/>
    <w:rsid w:val="00054CF3"/>
    <w:rsid w:val="000551FC"/>
    <w:rsid w:val="00065E6F"/>
    <w:rsid w:val="00075399"/>
    <w:rsid w:val="00080BE1"/>
    <w:rsid w:val="000A3284"/>
    <w:rsid w:val="000A4180"/>
    <w:rsid w:val="000C0970"/>
    <w:rsid w:val="000E7954"/>
    <w:rsid w:val="00101C39"/>
    <w:rsid w:val="0011410C"/>
    <w:rsid w:val="00133F01"/>
    <w:rsid w:val="0013439D"/>
    <w:rsid w:val="00137BFB"/>
    <w:rsid w:val="0014158B"/>
    <w:rsid w:val="00141D13"/>
    <w:rsid w:val="00142566"/>
    <w:rsid w:val="0016312D"/>
    <w:rsid w:val="001637D7"/>
    <w:rsid w:val="0016504B"/>
    <w:rsid w:val="00166A51"/>
    <w:rsid w:val="00175C70"/>
    <w:rsid w:val="001857C8"/>
    <w:rsid w:val="00195FBB"/>
    <w:rsid w:val="0019785E"/>
    <w:rsid w:val="001A4695"/>
    <w:rsid w:val="001A6F3C"/>
    <w:rsid w:val="001B4C6E"/>
    <w:rsid w:val="001C2F55"/>
    <w:rsid w:val="00200D85"/>
    <w:rsid w:val="0020190D"/>
    <w:rsid w:val="00216431"/>
    <w:rsid w:val="00224184"/>
    <w:rsid w:val="00243E38"/>
    <w:rsid w:val="002472E4"/>
    <w:rsid w:val="00247811"/>
    <w:rsid w:val="00250FF2"/>
    <w:rsid w:val="002532D2"/>
    <w:rsid w:val="00253AF3"/>
    <w:rsid w:val="00264FDA"/>
    <w:rsid w:val="00267DAA"/>
    <w:rsid w:val="00294D44"/>
    <w:rsid w:val="00295534"/>
    <w:rsid w:val="00296492"/>
    <w:rsid w:val="002A2B9E"/>
    <w:rsid w:val="002A3C0C"/>
    <w:rsid w:val="002C6D76"/>
    <w:rsid w:val="002D1069"/>
    <w:rsid w:val="002D2617"/>
    <w:rsid w:val="002D4D0E"/>
    <w:rsid w:val="002E43EC"/>
    <w:rsid w:val="002F60B9"/>
    <w:rsid w:val="002F7132"/>
    <w:rsid w:val="003039E9"/>
    <w:rsid w:val="00317D42"/>
    <w:rsid w:val="00337885"/>
    <w:rsid w:val="003472B7"/>
    <w:rsid w:val="00371EF0"/>
    <w:rsid w:val="003878B8"/>
    <w:rsid w:val="003B5088"/>
    <w:rsid w:val="003B7414"/>
    <w:rsid w:val="003C470F"/>
    <w:rsid w:val="003D4B8B"/>
    <w:rsid w:val="003D6EF5"/>
    <w:rsid w:val="003E3D7F"/>
    <w:rsid w:val="003E4737"/>
    <w:rsid w:val="00402E12"/>
    <w:rsid w:val="00407F4F"/>
    <w:rsid w:val="0041740B"/>
    <w:rsid w:val="0043155E"/>
    <w:rsid w:val="004644EA"/>
    <w:rsid w:val="004672E8"/>
    <w:rsid w:val="00475766"/>
    <w:rsid w:val="00475C1F"/>
    <w:rsid w:val="00476642"/>
    <w:rsid w:val="00477187"/>
    <w:rsid w:val="00483BD4"/>
    <w:rsid w:val="004867A8"/>
    <w:rsid w:val="004A56DB"/>
    <w:rsid w:val="004B3CF7"/>
    <w:rsid w:val="004C0DED"/>
    <w:rsid w:val="004C2098"/>
    <w:rsid w:val="004C3772"/>
    <w:rsid w:val="004C7B38"/>
    <w:rsid w:val="004D446F"/>
    <w:rsid w:val="004D5481"/>
    <w:rsid w:val="004E572E"/>
    <w:rsid w:val="004F1EA5"/>
    <w:rsid w:val="004F42EF"/>
    <w:rsid w:val="00501915"/>
    <w:rsid w:val="0051060D"/>
    <w:rsid w:val="00515F9E"/>
    <w:rsid w:val="00531B69"/>
    <w:rsid w:val="0053774B"/>
    <w:rsid w:val="00540ABE"/>
    <w:rsid w:val="00544126"/>
    <w:rsid w:val="00556078"/>
    <w:rsid w:val="00584E5C"/>
    <w:rsid w:val="005930D0"/>
    <w:rsid w:val="0059341D"/>
    <w:rsid w:val="005A65CE"/>
    <w:rsid w:val="005A7F54"/>
    <w:rsid w:val="005B1FC0"/>
    <w:rsid w:val="005B46B7"/>
    <w:rsid w:val="005B75B3"/>
    <w:rsid w:val="005C7AA9"/>
    <w:rsid w:val="005D0AA3"/>
    <w:rsid w:val="005D5148"/>
    <w:rsid w:val="005D5B02"/>
    <w:rsid w:val="005F6237"/>
    <w:rsid w:val="00600A74"/>
    <w:rsid w:val="00613E93"/>
    <w:rsid w:val="0062711F"/>
    <w:rsid w:val="00634BAF"/>
    <w:rsid w:val="00636850"/>
    <w:rsid w:val="00640930"/>
    <w:rsid w:val="0064190D"/>
    <w:rsid w:val="0064573E"/>
    <w:rsid w:val="00652DA7"/>
    <w:rsid w:val="006776A1"/>
    <w:rsid w:val="006866B8"/>
    <w:rsid w:val="00687507"/>
    <w:rsid w:val="00694573"/>
    <w:rsid w:val="006A0B24"/>
    <w:rsid w:val="006A512D"/>
    <w:rsid w:val="006B1145"/>
    <w:rsid w:val="006B1E89"/>
    <w:rsid w:val="006C33C0"/>
    <w:rsid w:val="006D0475"/>
    <w:rsid w:val="006D11A4"/>
    <w:rsid w:val="006D4579"/>
    <w:rsid w:val="00700EAB"/>
    <w:rsid w:val="00711E91"/>
    <w:rsid w:val="007135A2"/>
    <w:rsid w:val="00724E76"/>
    <w:rsid w:val="00740DD6"/>
    <w:rsid w:val="007430A1"/>
    <w:rsid w:val="00761EC4"/>
    <w:rsid w:val="00763463"/>
    <w:rsid w:val="00763A19"/>
    <w:rsid w:val="00775216"/>
    <w:rsid w:val="00794BD7"/>
    <w:rsid w:val="007A2E94"/>
    <w:rsid w:val="007A3104"/>
    <w:rsid w:val="007C5989"/>
    <w:rsid w:val="007D6E96"/>
    <w:rsid w:val="007E0B22"/>
    <w:rsid w:val="007E4532"/>
    <w:rsid w:val="00800AB8"/>
    <w:rsid w:val="00802589"/>
    <w:rsid w:val="00803D6E"/>
    <w:rsid w:val="00804E29"/>
    <w:rsid w:val="00807627"/>
    <w:rsid w:val="00811585"/>
    <w:rsid w:val="008368DE"/>
    <w:rsid w:val="008640C8"/>
    <w:rsid w:val="00871C0C"/>
    <w:rsid w:val="008A7961"/>
    <w:rsid w:val="008B5541"/>
    <w:rsid w:val="008C0741"/>
    <w:rsid w:val="008C25D8"/>
    <w:rsid w:val="008C4C19"/>
    <w:rsid w:val="008F6077"/>
    <w:rsid w:val="00901C76"/>
    <w:rsid w:val="00906381"/>
    <w:rsid w:val="009170D4"/>
    <w:rsid w:val="00925ED2"/>
    <w:rsid w:val="0093057B"/>
    <w:rsid w:val="009333DF"/>
    <w:rsid w:val="00956BE0"/>
    <w:rsid w:val="009669A7"/>
    <w:rsid w:val="00967749"/>
    <w:rsid w:val="0099457C"/>
    <w:rsid w:val="009A13A5"/>
    <w:rsid w:val="009A39EF"/>
    <w:rsid w:val="009B3576"/>
    <w:rsid w:val="009D17BC"/>
    <w:rsid w:val="009E4264"/>
    <w:rsid w:val="00A03803"/>
    <w:rsid w:val="00A104AA"/>
    <w:rsid w:val="00A246E5"/>
    <w:rsid w:val="00A3614A"/>
    <w:rsid w:val="00A44B44"/>
    <w:rsid w:val="00A51BD3"/>
    <w:rsid w:val="00A64A09"/>
    <w:rsid w:val="00A70009"/>
    <w:rsid w:val="00A71D1B"/>
    <w:rsid w:val="00A84761"/>
    <w:rsid w:val="00AA6F8A"/>
    <w:rsid w:val="00AB4D16"/>
    <w:rsid w:val="00AC0335"/>
    <w:rsid w:val="00AC5A62"/>
    <w:rsid w:val="00AD4CB7"/>
    <w:rsid w:val="00AD6B89"/>
    <w:rsid w:val="00B03151"/>
    <w:rsid w:val="00B111B6"/>
    <w:rsid w:val="00B264AC"/>
    <w:rsid w:val="00B31756"/>
    <w:rsid w:val="00B32DA7"/>
    <w:rsid w:val="00B377FC"/>
    <w:rsid w:val="00B45B66"/>
    <w:rsid w:val="00B51FCE"/>
    <w:rsid w:val="00B7308E"/>
    <w:rsid w:val="00B74BCA"/>
    <w:rsid w:val="00B7518E"/>
    <w:rsid w:val="00B80837"/>
    <w:rsid w:val="00B95DCE"/>
    <w:rsid w:val="00BB2527"/>
    <w:rsid w:val="00BB57FD"/>
    <w:rsid w:val="00BD7901"/>
    <w:rsid w:val="00BF388F"/>
    <w:rsid w:val="00BF4DC1"/>
    <w:rsid w:val="00BF75E2"/>
    <w:rsid w:val="00C06DC9"/>
    <w:rsid w:val="00C07FAF"/>
    <w:rsid w:val="00C13B7E"/>
    <w:rsid w:val="00C2242C"/>
    <w:rsid w:val="00C25A24"/>
    <w:rsid w:val="00C3749D"/>
    <w:rsid w:val="00C66046"/>
    <w:rsid w:val="00C74723"/>
    <w:rsid w:val="00C84370"/>
    <w:rsid w:val="00C912E1"/>
    <w:rsid w:val="00C972C0"/>
    <w:rsid w:val="00CA09D8"/>
    <w:rsid w:val="00CA1446"/>
    <w:rsid w:val="00CB1D71"/>
    <w:rsid w:val="00CB25E3"/>
    <w:rsid w:val="00CB788F"/>
    <w:rsid w:val="00CB7E00"/>
    <w:rsid w:val="00CC530E"/>
    <w:rsid w:val="00CD6E35"/>
    <w:rsid w:val="00CE60EC"/>
    <w:rsid w:val="00CF1953"/>
    <w:rsid w:val="00D024C3"/>
    <w:rsid w:val="00D177A2"/>
    <w:rsid w:val="00D31036"/>
    <w:rsid w:val="00D3323F"/>
    <w:rsid w:val="00D57BAD"/>
    <w:rsid w:val="00D657B6"/>
    <w:rsid w:val="00D70366"/>
    <w:rsid w:val="00D74798"/>
    <w:rsid w:val="00D90188"/>
    <w:rsid w:val="00DC5A68"/>
    <w:rsid w:val="00DC6308"/>
    <w:rsid w:val="00DD4BC7"/>
    <w:rsid w:val="00DD4E75"/>
    <w:rsid w:val="00DE396B"/>
    <w:rsid w:val="00DF0C4A"/>
    <w:rsid w:val="00E11A63"/>
    <w:rsid w:val="00E23035"/>
    <w:rsid w:val="00E23FA9"/>
    <w:rsid w:val="00E31FBB"/>
    <w:rsid w:val="00E330B5"/>
    <w:rsid w:val="00E42677"/>
    <w:rsid w:val="00E47B3C"/>
    <w:rsid w:val="00E6045C"/>
    <w:rsid w:val="00E73372"/>
    <w:rsid w:val="00EA0967"/>
    <w:rsid w:val="00EB5281"/>
    <w:rsid w:val="00EB5EAD"/>
    <w:rsid w:val="00EC03FA"/>
    <w:rsid w:val="00EC59AD"/>
    <w:rsid w:val="00ED6187"/>
    <w:rsid w:val="00EE0AEA"/>
    <w:rsid w:val="00EF2D64"/>
    <w:rsid w:val="00F0233A"/>
    <w:rsid w:val="00F12881"/>
    <w:rsid w:val="00F17256"/>
    <w:rsid w:val="00F17AFD"/>
    <w:rsid w:val="00F24F66"/>
    <w:rsid w:val="00F309F4"/>
    <w:rsid w:val="00F33FAB"/>
    <w:rsid w:val="00F43733"/>
    <w:rsid w:val="00F45463"/>
    <w:rsid w:val="00F47A6D"/>
    <w:rsid w:val="00F60F5B"/>
    <w:rsid w:val="00F73049"/>
    <w:rsid w:val="00F772AA"/>
    <w:rsid w:val="00F9398C"/>
    <w:rsid w:val="00F97A85"/>
    <w:rsid w:val="00FA27CD"/>
    <w:rsid w:val="00FC579E"/>
    <w:rsid w:val="00FD7B6A"/>
    <w:rsid w:val="00FE0C5F"/>
    <w:rsid w:val="00FE5216"/>
    <w:rsid w:val="00FF7E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0393DF"/>
  <w14:defaultImageDpi w14:val="330"/>
  <w15:docId w15:val="{722C7729-C7AB-45FB-A3BC-073365EF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71"/>
    <w:pPr>
      <w:spacing w:after="120"/>
    </w:pPr>
    <w:rPr>
      <w:rFonts w:asciiTheme="minorHAnsi" w:eastAsia="MS Mincho" w:hAnsiTheme="minorHAnsi"/>
      <w:sz w:val="24"/>
      <w:szCs w:val="24"/>
      <w:lang w:eastAsia="en-US"/>
    </w:rPr>
  </w:style>
  <w:style w:type="paragraph" w:styleId="Heading1">
    <w:name w:val="heading 1"/>
    <w:basedOn w:val="Normal"/>
    <w:next w:val="Normal"/>
    <w:qFormat/>
    <w:rsid w:val="00B111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B5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hw">
    <w:name w:val="header hw"/>
    <w:autoRedefine/>
    <w:rsid w:val="00804E29"/>
    <w:pPr>
      <w:ind w:left="-180" w:firstLine="180"/>
    </w:pPr>
    <w:rPr>
      <w:rFonts w:ascii="Clarendon Condensed" w:hAnsi="Clarendon Condensed"/>
      <w:b/>
      <w:lang w:eastAsia="en-US"/>
    </w:rPr>
  </w:style>
  <w:style w:type="paragraph" w:customStyle="1" w:styleId="abstractheader">
    <w:name w:val="abstract header"/>
    <w:autoRedefine/>
    <w:rsid w:val="006A0B24"/>
    <w:rPr>
      <w:rFonts w:ascii="Verdana" w:hAnsi="Verdana"/>
      <w:b/>
      <w:szCs w:val="24"/>
      <w:lang w:val="en-US" w:eastAsia="en-US"/>
    </w:rPr>
  </w:style>
  <w:style w:type="paragraph" w:customStyle="1" w:styleId="Header1">
    <w:name w:val="Header1"/>
    <w:autoRedefine/>
    <w:rsid w:val="004F42EF"/>
    <w:rPr>
      <w:rFonts w:ascii="Verdana" w:hAnsi="Verdana"/>
      <w:b/>
      <w:caps/>
      <w:sz w:val="22"/>
      <w:szCs w:val="22"/>
      <w:lang w:val="en-US" w:eastAsia="en-US"/>
    </w:rPr>
  </w:style>
  <w:style w:type="paragraph" w:customStyle="1" w:styleId="Style1">
    <w:name w:val="Style1"/>
    <w:autoRedefine/>
    <w:rsid w:val="00A51BD3"/>
    <w:pPr>
      <w:ind w:left="720"/>
    </w:pPr>
    <w:rPr>
      <w:rFonts w:ascii="Verdana" w:hAnsi="Verdana" w:cs="Tahoma"/>
      <w:i/>
      <w:szCs w:val="16"/>
      <w:lang w:val="en-US" w:eastAsia="en-US"/>
    </w:rPr>
  </w:style>
  <w:style w:type="paragraph" w:styleId="TOC1">
    <w:name w:val="toc 1"/>
    <w:basedOn w:val="Normal"/>
    <w:next w:val="Normal"/>
    <w:autoRedefine/>
    <w:semiHidden/>
    <w:rsid w:val="004F42EF"/>
    <w:rPr>
      <w:rFonts w:ascii="Verdana" w:hAnsi="Verdana"/>
      <w:b/>
      <w:sz w:val="20"/>
    </w:rPr>
  </w:style>
  <w:style w:type="paragraph" w:customStyle="1" w:styleId="Style2">
    <w:name w:val="Style2"/>
    <w:basedOn w:val="TOC1"/>
    <w:autoRedefine/>
    <w:rsid w:val="00B32DA7"/>
    <w:pPr>
      <w:tabs>
        <w:tab w:val="right" w:leader="dot" w:pos="8630"/>
      </w:tabs>
    </w:pPr>
    <w:rPr>
      <w:b w:val="0"/>
      <w:noProof/>
      <w:szCs w:val="20"/>
    </w:rPr>
  </w:style>
  <w:style w:type="paragraph" w:styleId="TOC2">
    <w:name w:val="toc 2"/>
    <w:next w:val="Normal"/>
    <w:autoRedefine/>
    <w:semiHidden/>
    <w:rsid w:val="004F42EF"/>
    <w:pPr>
      <w:tabs>
        <w:tab w:val="right" w:leader="dot" w:pos="8630"/>
      </w:tabs>
      <w:ind w:left="720"/>
    </w:pPr>
    <w:rPr>
      <w:noProof/>
      <w:sz w:val="24"/>
      <w:lang w:val="en-US" w:eastAsia="en-US"/>
    </w:rPr>
  </w:style>
  <w:style w:type="paragraph" w:customStyle="1" w:styleId="sectionheading">
    <w:name w:val="section heading"/>
    <w:autoRedefine/>
    <w:rsid w:val="004F42EF"/>
    <w:pPr>
      <w:tabs>
        <w:tab w:val="left" w:pos="-1440"/>
        <w:tab w:val="num" w:pos="720"/>
        <w:tab w:val="left" w:pos="1440"/>
      </w:tabs>
      <w:ind w:left="720" w:right="540" w:hanging="720"/>
    </w:pPr>
    <w:rPr>
      <w:rFonts w:ascii="Verdana" w:hAnsi="Verdana"/>
      <w:b/>
      <w:bCs/>
      <w:snapToGrid w:val="0"/>
      <w:lang w:val="en-US" w:eastAsia="en-US"/>
    </w:rPr>
  </w:style>
  <w:style w:type="paragraph" w:customStyle="1" w:styleId="sectionheader">
    <w:name w:val="section header"/>
    <w:autoRedefine/>
    <w:rsid w:val="00A51BD3"/>
    <w:pPr>
      <w:tabs>
        <w:tab w:val="left" w:pos="720"/>
      </w:tabs>
      <w:ind w:left="720" w:right="180"/>
    </w:pPr>
    <w:rPr>
      <w:rFonts w:ascii="Verdana" w:hAnsi="Verdana"/>
      <w:b/>
      <w:lang w:val="en-US" w:eastAsia="en-US"/>
    </w:rPr>
  </w:style>
  <w:style w:type="paragraph" w:customStyle="1" w:styleId="Subsectionheader">
    <w:name w:val="Subsection header"/>
    <w:autoRedefine/>
    <w:rsid w:val="00A51BD3"/>
    <w:pPr>
      <w:ind w:left="720"/>
    </w:pPr>
    <w:rPr>
      <w:rFonts w:ascii="Verdana" w:hAnsi="Verdana"/>
      <w:i/>
      <w:lang w:val="en-US" w:eastAsia="en-US"/>
    </w:rPr>
  </w:style>
  <w:style w:type="paragraph" w:customStyle="1" w:styleId="appendicies">
    <w:name w:val="appendicies"/>
    <w:basedOn w:val="Normal"/>
    <w:autoRedefine/>
    <w:rsid w:val="00A51BD3"/>
    <w:pPr>
      <w:autoSpaceDE w:val="0"/>
      <w:autoSpaceDN w:val="0"/>
      <w:adjustRightInd w:val="0"/>
    </w:pPr>
    <w:rPr>
      <w:rFonts w:ascii="Verdana" w:hAnsi="Verdana"/>
      <w:b/>
      <w:caps/>
      <w:sz w:val="22"/>
      <w:szCs w:val="22"/>
    </w:rPr>
  </w:style>
  <w:style w:type="paragraph" w:styleId="TOC3">
    <w:name w:val="toc 3"/>
    <w:basedOn w:val="Normal"/>
    <w:next w:val="Normal"/>
    <w:autoRedefine/>
    <w:semiHidden/>
    <w:rsid w:val="00A51BD3"/>
    <w:pPr>
      <w:autoSpaceDE w:val="0"/>
      <w:autoSpaceDN w:val="0"/>
      <w:adjustRightInd w:val="0"/>
      <w:ind w:left="400"/>
    </w:pPr>
    <w:rPr>
      <w:rFonts w:ascii="Verdana" w:hAnsi="Verdana"/>
      <w:sz w:val="20"/>
      <w:szCs w:val="20"/>
    </w:rPr>
  </w:style>
  <w:style w:type="paragraph" w:styleId="Header">
    <w:name w:val="header"/>
    <w:basedOn w:val="Normal"/>
    <w:rsid w:val="00F97A85"/>
    <w:pPr>
      <w:tabs>
        <w:tab w:val="center" w:pos="4320"/>
        <w:tab w:val="right" w:pos="8640"/>
      </w:tabs>
    </w:pPr>
  </w:style>
  <w:style w:type="paragraph" w:styleId="Footer">
    <w:name w:val="footer"/>
    <w:basedOn w:val="Normal"/>
    <w:link w:val="FooterChar"/>
    <w:uiPriority w:val="99"/>
    <w:rsid w:val="00F97A85"/>
    <w:pPr>
      <w:tabs>
        <w:tab w:val="center" w:pos="4320"/>
        <w:tab w:val="right" w:pos="8640"/>
      </w:tabs>
    </w:pPr>
  </w:style>
  <w:style w:type="character" w:styleId="Hyperlink">
    <w:name w:val="Hyperlink"/>
    <w:rsid w:val="007A2E94"/>
    <w:rPr>
      <w:color w:val="0000FF"/>
      <w:u w:val="single"/>
    </w:rPr>
  </w:style>
  <w:style w:type="character" w:customStyle="1" w:styleId="apple-converted-space">
    <w:name w:val="apple-converted-space"/>
    <w:basedOn w:val="DefaultParagraphFont"/>
    <w:rsid w:val="00EA0967"/>
  </w:style>
  <w:style w:type="paragraph" w:styleId="NormalWeb">
    <w:name w:val="Normal (Web)"/>
    <w:basedOn w:val="Normal"/>
    <w:uiPriority w:val="99"/>
    <w:unhideWhenUsed/>
    <w:rsid w:val="009D17BC"/>
    <w:pPr>
      <w:spacing w:before="100" w:beforeAutospacing="1" w:after="119"/>
    </w:pPr>
    <w:rPr>
      <w:rFonts w:eastAsia="Times New Roman"/>
      <w:lang w:eastAsia="en-CA"/>
    </w:rPr>
  </w:style>
  <w:style w:type="character" w:styleId="Emphasis">
    <w:name w:val="Emphasis"/>
    <w:uiPriority w:val="20"/>
    <w:qFormat/>
    <w:rsid w:val="009D17BC"/>
    <w:rPr>
      <w:i/>
      <w:iCs/>
    </w:rPr>
  </w:style>
  <w:style w:type="character" w:customStyle="1" w:styleId="st">
    <w:name w:val="st"/>
    <w:rsid w:val="0019785E"/>
  </w:style>
  <w:style w:type="paragraph" w:styleId="BalloonText">
    <w:name w:val="Balloon Text"/>
    <w:basedOn w:val="Normal"/>
    <w:link w:val="BalloonTextChar"/>
    <w:rsid w:val="005C7AA9"/>
    <w:rPr>
      <w:rFonts w:ascii="Segoe UI" w:hAnsi="Segoe UI" w:cs="Segoe UI"/>
      <w:sz w:val="18"/>
      <w:szCs w:val="18"/>
    </w:rPr>
  </w:style>
  <w:style w:type="character" w:customStyle="1" w:styleId="BalloonTextChar">
    <w:name w:val="Balloon Text Char"/>
    <w:link w:val="BalloonText"/>
    <w:rsid w:val="005C7AA9"/>
    <w:rPr>
      <w:rFonts w:ascii="Segoe UI" w:eastAsia="MS Mincho" w:hAnsi="Segoe UI" w:cs="Segoe UI"/>
      <w:sz w:val="18"/>
      <w:szCs w:val="18"/>
      <w:lang w:eastAsia="en-US"/>
    </w:rPr>
  </w:style>
  <w:style w:type="paragraph" w:styleId="EndnoteText">
    <w:name w:val="endnote text"/>
    <w:basedOn w:val="Normal"/>
    <w:link w:val="EndnoteTextChar"/>
    <w:uiPriority w:val="99"/>
    <w:unhideWhenUsed/>
    <w:rsid w:val="00CB1D71"/>
    <w:rPr>
      <w:rFonts w:eastAsiaTheme="minorHAnsi" w:cstheme="minorBidi"/>
      <w:sz w:val="20"/>
      <w:szCs w:val="20"/>
    </w:rPr>
  </w:style>
  <w:style w:type="character" w:customStyle="1" w:styleId="EndnoteTextChar">
    <w:name w:val="Endnote Text Char"/>
    <w:basedOn w:val="DefaultParagraphFont"/>
    <w:link w:val="EndnoteText"/>
    <w:uiPriority w:val="99"/>
    <w:rsid w:val="00CB1D71"/>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B1D71"/>
    <w:rPr>
      <w:vertAlign w:val="superscript"/>
    </w:rPr>
  </w:style>
  <w:style w:type="character" w:customStyle="1" w:styleId="Heading2Char">
    <w:name w:val="Heading 2 Char"/>
    <w:basedOn w:val="DefaultParagraphFont"/>
    <w:link w:val="Heading2"/>
    <w:semiHidden/>
    <w:rsid w:val="00EB5EAD"/>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rsid w:val="00EB5EAD"/>
    <w:rPr>
      <w:color w:val="954F72" w:themeColor="followedHyperlink"/>
      <w:u w:val="single"/>
    </w:rPr>
  </w:style>
  <w:style w:type="character" w:customStyle="1" w:styleId="FooterChar">
    <w:name w:val="Footer Char"/>
    <w:basedOn w:val="DefaultParagraphFont"/>
    <w:link w:val="Footer"/>
    <w:uiPriority w:val="99"/>
    <w:rsid w:val="00200D85"/>
    <w:rPr>
      <w:rFonts w:asciiTheme="minorHAnsi" w:eastAsia="MS Mincho"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5974">
      <w:bodyDiv w:val="1"/>
      <w:marLeft w:val="0"/>
      <w:marRight w:val="0"/>
      <w:marTop w:val="0"/>
      <w:marBottom w:val="0"/>
      <w:divBdr>
        <w:top w:val="none" w:sz="0" w:space="0" w:color="auto"/>
        <w:left w:val="none" w:sz="0" w:space="0" w:color="auto"/>
        <w:bottom w:val="none" w:sz="0" w:space="0" w:color="auto"/>
        <w:right w:val="none" w:sz="0" w:space="0" w:color="auto"/>
      </w:divBdr>
    </w:div>
    <w:div w:id="740638716">
      <w:bodyDiv w:val="1"/>
      <w:marLeft w:val="0"/>
      <w:marRight w:val="0"/>
      <w:marTop w:val="0"/>
      <w:marBottom w:val="0"/>
      <w:divBdr>
        <w:top w:val="none" w:sz="0" w:space="0" w:color="auto"/>
        <w:left w:val="none" w:sz="0" w:space="0" w:color="auto"/>
        <w:bottom w:val="none" w:sz="0" w:space="0" w:color="auto"/>
        <w:right w:val="none" w:sz="0" w:space="0" w:color="auto"/>
      </w:divBdr>
    </w:div>
    <w:div w:id="1051929009">
      <w:bodyDiv w:val="1"/>
      <w:marLeft w:val="0"/>
      <w:marRight w:val="0"/>
      <w:marTop w:val="0"/>
      <w:marBottom w:val="0"/>
      <w:divBdr>
        <w:top w:val="none" w:sz="0" w:space="0" w:color="auto"/>
        <w:left w:val="none" w:sz="0" w:space="0" w:color="auto"/>
        <w:bottom w:val="none" w:sz="0" w:space="0" w:color="auto"/>
        <w:right w:val="none" w:sz="0" w:space="0" w:color="auto"/>
      </w:divBdr>
    </w:div>
    <w:div w:id="1157455204">
      <w:bodyDiv w:val="1"/>
      <w:marLeft w:val="0"/>
      <w:marRight w:val="0"/>
      <w:marTop w:val="0"/>
      <w:marBottom w:val="0"/>
      <w:divBdr>
        <w:top w:val="none" w:sz="0" w:space="0" w:color="auto"/>
        <w:left w:val="none" w:sz="0" w:space="0" w:color="auto"/>
        <w:bottom w:val="none" w:sz="0" w:space="0" w:color="auto"/>
        <w:right w:val="none" w:sz="0" w:space="0" w:color="auto"/>
      </w:divBdr>
    </w:div>
    <w:div w:id="1267035899">
      <w:bodyDiv w:val="1"/>
      <w:marLeft w:val="0"/>
      <w:marRight w:val="0"/>
      <w:marTop w:val="0"/>
      <w:marBottom w:val="0"/>
      <w:divBdr>
        <w:top w:val="none" w:sz="0" w:space="0" w:color="auto"/>
        <w:left w:val="none" w:sz="0" w:space="0" w:color="auto"/>
        <w:bottom w:val="none" w:sz="0" w:space="0" w:color="auto"/>
        <w:right w:val="none" w:sz="0" w:space="0" w:color="auto"/>
      </w:divBdr>
    </w:div>
    <w:div w:id="1311790968">
      <w:bodyDiv w:val="1"/>
      <w:marLeft w:val="0"/>
      <w:marRight w:val="0"/>
      <w:marTop w:val="0"/>
      <w:marBottom w:val="0"/>
      <w:divBdr>
        <w:top w:val="none" w:sz="0" w:space="0" w:color="auto"/>
        <w:left w:val="none" w:sz="0" w:space="0" w:color="auto"/>
        <w:bottom w:val="none" w:sz="0" w:space="0" w:color="auto"/>
        <w:right w:val="none" w:sz="0" w:space="0" w:color="auto"/>
      </w:divBdr>
    </w:div>
    <w:div w:id="1417897002">
      <w:bodyDiv w:val="1"/>
      <w:marLeft w:val="0"/>
      <w:marRight w:val="0"/>
      <w:marTop w:val="0"/>
      <w:marBottom w:val="0"/>
      <w:divBdr>
        <w:top w:val="none" w:sz="0" w:space="0" w:color="auto"/>
        <w:left w:val="none" w:sz="0" w:space="0" w:color="auto"/>
        <w:bottom w:val="none" w:sz="0" w:space="0" w:color="auto"/>
        <w:right w:val="none" w:sz="0" w:space="0" w:color="auto"/>
      </w:divBdr>
    </w:div>
    <w:div w:id="1489128446">
      <w:bodyDiv w:val="1"/>
      <w:marLeft w:val="0"/>
      <w:marRight w:val="0"/>
      <w:marTop w:val="0"/>
      <w:marBottom w:val="0"/>
      <w:divBdr>
        <w:top w:val="none" w:sz="0" w:space="0" w:color="auto"/>
        <w:left w:val="none" w:sz="0" w:space="0" w:color="auto"/>
        <w:bottom w:val="none" w:sz="0" w:space="0" w:color="auto"/>
        <w:right w:val="none" w:sz="0" w:space="0" w:color="auto"/>
      </w:divBdr>
    </w:div>
    <w:div w:id="1590389372">
      <w:bodyDiv w:val="1"/>
      <w:marLeft w:val="0"/>
      <w:marRight w:val="0"/>
      <w:marTop w:val="0"/>
      <w:marBottom w:val="0"/>
      <w:divBdr>
        <w:top w:val="none" w:sz="0" w:space="0" w:color="auto"/>
        <w:left w:val="none" w:sz="0" w:space="0" w:color="auto"/>
        <w:bottom w:val="none" w:sz="0" w:space="0" w:color="auto"/>
        <w:right w:val="none" w:sz="0" w:space="0" w:color="auto"/>
      </w:divBdr>
    </w:div>
    <w:div w:id="1675524644">
      <w:bodyDiv w:val="1"/>
      <w:marLeft w:val="0"/>
      <w:marRight w:val="0"/>
      <w:marTop w:val="0"/>
      <w:marBottom w:val="0"/>
      <w:divBdr>
        <w:top w:val="none" w:sz="0" w:space="0" w:color="auto"/>
        <w:left w:val="none" w:sz="0" w:space="0" w:color="auto"/>
        <w:bottom w:val="none" w:sz="0" w:space="0" w:color="auto"/>
        <w:right w:val="none" w:sz="0" w:space="0" w:color="auto"/>
      </w:divBdr>
      <w:divsChild>
        <w:div w:id="1257177094">
          <w:marLeft w:val="0"/>
          <w:marRight w:val="0"/>
          <w:marTop w:val="0"/>
          <w:marBottom w:val="0"/>
          <w:divBdr>
            <w:top w:val="none" w:sz="0" w:space="0" w:color="auto"/>
            <w:left w:val="none" w:sz="0" w:space="0" w:color="auto"/>
            <w:bottom w:val="none" w:sz="0" w:space="0" w:color="auto"/>
            <w:right w:val="none" w:sz="0" w:space="0" w:color="auto"/>
          </w:divBdr>
        </w:div>
      </w:divsChild>
    </w:div>
    <w:div w:id="1685865421">
      <w:bodyDiv w:val="1"/>
      <w:marLeft w:val="0"/>
      <w:marRight w:val="0"/>
      <w:marTop w:val="0"/>
      <w:marBottom w:val="0"/>
      <w:divBdr>
        <w:top w:val="none" w:sz="0" w:space="0" w:color="auto"/>
        <w:left w:val="none" w:sz="0" w:space="0" w:color="auto"/>
        <w:bottom w:val="none" w:sz="0" w:space="0" w:color="auto"/>
        <w:right w:val="none" w:sz="0" w:space="0" w:color="auto"/>
      </w:divBdr>
    </w:div>
    <w:div w:id="1737434019">
      <w:bodyDiv w:val="1"/>
      <w:marLeft w:val="0"/>
      <w:marRight w:val="0"/>
      <w:marTop w:val="0"/>
      <w:marBottom w:val="0"/>
      <w:divBdr>
        <w:top w:val="none" w:sz="0" w:space="0" w:color="auto"/>
        <w:left w:val="none" w:sz="0" w:space="0" w:color="auto"/>
        <w:bottom w:val="none" w:sz="0" w:space="0" w:color="auto"/>
        <w:right w:val="none" w:sz="0" w:space="0" w:color="auto"/>
      </w:divBdr>
    </w:div>
    <w:div w:id="1809977420">
      <w:bodyDiv w:val="1"/>
      <w:marLeft w:val="0"/>
      <w:marRight w:val="0"/>
      <w:marTop w:val="0"/>
      <w:marBottom w:val="0"/>
      <w:divBdr>
        <w:top w:val="none" w:sz="0" w:space="0" w:color="auto"/>
        <w:left w:val="none" w:sz="0" w:space="0" w:color="auto"/>
        <w:bottom w:val="none" w:sz="0" w:space="0" w:color="auto"/>
        <w:right w:val="none" w:sz="0" w:space="0" w:color="auto"/>
      </w:divBdr>
    </w:div>
    <w:div w:id="21402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phac-aspc.gc.ca/about_apropos/evaluation/reports-rapports/2013-2014/diaha-idlvs/app-ann-b-fra.php" TargetMode="External"/><Relationship Id="rId2" Type="http://schemas.openxmlformats.org/officeDocument/2006/relationships/hyperlink" Target="http://nouvelles.gc.ca/web/article-fr.do?nid=1022689&amp;_ga=1.200712430.1100035353.1476382135" TargetMode="External"/><Relationship Id="rId1" Type="http://schemas.openxmlformats.org/officeDocument/2006/relationships/hyperlink" Target="http://canadiensensante.gc.ca/publications/diseases-conditions-maladies-affections/hiv-aids-estimates-2014-vih-sida-estimations/index-fra.php?_ga=1.221978392.187377213.1476382010" TargetMode="External"/><Relationship Id="rId6" Type="http://schemas.openxmlformats.org/officeDocument/2006/relationships/hyperlink" Target="http://www.cdnaids.ca/the-economic-cost-of-hivaids-in-canada/" TargetMode="External"/><Relationship Id="rId5" Type="http://schemas.openxmlformats.org/officeDocument/2006/relationships/hyperlink" Target="http://canadiensensante.gc.ca/publications/diseases-conditions-maladies-affections/hiv-aids-estimates-2014-vih-sida-estimations/index-fra.php" TargetMode="External"/><Relationship Id="rId4" Type="http://schemas.openxmlformats.org/officeDocument/2006/relationships/hyperlink" Target="http://www.phac-aspc.gc.ca/aids-sida/publication/epi/2010/2-fra.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2544-0B3A-439B-9BB8-3982DDCF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September 20, 2012</vt:lpstr>
    </vt:vector>
  </TitlesOfParts>
  <Company/>
  <LinksUpToDate>false</LinksUpToDate>
  <CharactersWithSpaces>15826</CharactersWithSpaces>
  <SharedDoc>false</SharedDoc>
  <HLinks>
    <vt:vector size="6" baseType="variant">
      <vt:variant>
        <vt:i4>7864446</vt:i4>
      </vt:variant>
      <vt:variant>
        <vt:i4>2061</vt:i4>
      </vt:variant>
      <vt:variant>
        <vt:i4>1025</vt:i4>
      </vt:variant>
      <vt:variant>
        <vt:i4>1</vt:i4>
      </vt:variant>
      <vt:variant>
        <vt:lpwstr>letterhead - suite 100 - corrected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 2012</dc:title>
  <dc:subject/>
  <dc:creator>Holly Wagg</dc:creator>
  <cp:keywords/>
  <dc:description/>
  <cp:lastModifiedBy>Liz Christie</cp:lastModifiedBy>
  <cp:revision>7</cp:revision>
  <cp:lastPrinted>2016-10-13T19:40:00Z</cp:lastPrinted>
  <dcterms:created xsi:type="dcterms:W3CDTF">2016-10-13T19:23:00Z</dcterms:created>
  <dcterms:modified xsi:type="dcterms:W3CDTF">2016-10-13T20:14:00Z</dcterms:modified>
</cp:coreProperties>
</file>